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FE" w:rsidRPr="00767CBE" w:rsidRDefault="00341DFE" w:rsidP="001B053B">
      <w:pPr>
        <w:autoSpaceDE w:val="0"/>
        <w:autoSpaceDN w:val="0"/>
        <w:adjustRightInd w:val="0"/>
        <w:rPr>
          <w:rFonts w:cs="Times New Roman"/>
          <w:smallCaps/>
          <w:sz w:val="36"/>
          <w:szCs w:val="28"/>
          <w:lang w:val="en-US"/>
        </w:rPr>
      </w:pPr>
      <w:r w:rsidRPr="00767CBE">
        <w:rPr>
          <w:rFonts w:cs="Times New Roman"/>
          <w:b/>
          <w:bCs/>
          <w:smallCaps/>
          <w:sz w:val="36"/>
          <w:szCs w:val="28"/>
          <w:lang w:val="en-US"/>
        </w:rPr>
        <w:t xml:space="preserve">Gilles </w:t>
      </w:r>
      <w:r w:rsidR="003A7BBD" w:rsidRPr="00767CBE">
        <w:rPr>
          <w:rFonts w:cs="Times New Roman"/>
          <w:b/>
          <w:bCs/>
          <w:smallCaps/>
          <w:sz w:val="36"/>
          <w:szCs w:val="28"/>
          <w:lang w:val="en-US"/>
        </w:rPr>
        <w:t>Vannuscorps</w:t>
      </w:r>
    </w:p>
    <w:p w:rsidR="0066272D" w:rsidRDefault="0066272D" w:rsidP="0066272D">
      <w:pPr>
        <w:autoSpaceDE w:val="0"/>
        <w:autoSpaceDN w:val="0"/>
        <w:adjustRightInd w:val="0"/>
        <w:rPr>
          <w:rFonts w:cs="Times New Roman"/>
          <w:bCs/>
          <w:sz w:val="20"/>
          <w:szCs w:val="20"/>
          <w:lang w:val="en-US"/>
        </w:rPr>
      </w:pPr>
      <w:r w:rsidRPr="00FE3D41">
        <w:rPr>
          <w:rFonts w:cs="Times New Roman"/>
          <w:bCs/>
          <w:sz w:val="20"/>
          <w:szCs w:val="20"/>
          <w:lang w:val="en-US"/>
        </w:rPr>
        <w:t>Born on July 28, 1985 in Huy (Belgium)</w:t>
      </w:r>
    </w:p>
    <w:p w:rsidR="00767CBE" w:rsidRDefault="00767CBE" w:rsidP="0066272D">
      <w:pPr>
        <w:autoSpaceDE w:val="0"/>
        <w:autoSpaceDN w:val="0"/>
        <w:adjustRightInd w:val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Cs/>
          <w:sz w:val="20"/>
          <w:szCs w:val="20"/>
          <w:lang w:val="en-US"/>
        </w:rPr>
        <w:t>Ph.D. in Psychological Sciences</w:t>
      </w:r>
    </w:p>
    <w:p w:rsidR="00767CBE" w:rsidRPr="00767CBE" w:rsidRDefault="00767CBE" w:rsidP="00767CBE">
      <w:pPr>
        <w:rPr>
          <w:rFonts w:cs="Times New Roman"/>
          <w:bCs/>
          <w:sz w:val="16"/>
          <w:szCs w:val="20"/>
          <w:lang w:val="en-US"/>
        </w:rPr>
      </w:pPr>
      <w:r w:rsidRPr="00767CBE">
        <w:rPr>
          <w:sz w:val="20"/>
          <w:shd w:val="clear" w:color="auto" w:fill="FFFFFF"/>
          <w:lang w:val="en-US"/>
        </w:rPr>
        <w:t xml:space="preserve">Certified speech-language </w:t>
      </w:r>
      <w:r>
        <w:rPr>
          <w:sz w:val="20"/>
          <w:shd w:val="clear" w:color="auto" w:fill="FFFFFF"/>
          <w:lang w:val="en-US"/>
        </w:rPr>
        <w:t>therapist</w:t>
      </w:r>
    </w:p>
    <w:p w:rsidR="00330121" w:rsidRDefault="00330121" w:rsidP="0066272D">
      <w:pPr>
        <w:autoSpaceDE w:val="0"/>
        <w:autoSpaceDN w:val="0"/>
        <w:adjustRightInd w:val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Cs/>
          <w:sz w:val="20"/>
          <w:szCs w:val="20"/>
          <w:lang w:val="en-US"/>
        </w:rPr>
        <w:t>French (mother tongue), English</w:t>
      </w:r>
      <w:r w:rsidR="00591909">
        <w:rPr>
          <w:rFonts w:cs="Times New Roman"/>
          <w:bCs/>
          <w:sz w:val="20"/>
          <w:szCs w:val="20"/>
          <w:lang w:val="en-US"/>
        </w:rPr>
        <w:t xml:space="preserve"> (Proficient), Italian (Basic) and </w:t>
      </w:r>
      <w:r>
        <w:rPr>
          <w:rFonts w:cs="Times New Roman"/>
          <w:bCs/>
          <w:sz w:val="20"/>
          <w:szCs w:val="20"/>
          <w:lang w:val="en-US"/>
        </w:rPr>
        <w:t>Dutch (Basic)</w:t>
      </w:r>
      <w:r w:rsidR="00591909">
        <w:rPr>
          <w:rFonts w:cs="Times New Roman"/>
          <w:bCs/>
          <w:sz w:val="20"/>
          <w:szCs w:val="20"/>
          <w:lang w:val="en-US"/>
        </w:rPr>
        <w:t xml:space="preserve"> user</w:t>
      </w:r>
    </w:p>
    <w:p w:rsidR="0066272D" w:rsidRPr="00FA3243" w:rsidRDefault="0066272D" w:rsidP="0066272D">
      <w:pPr>
        <w:ind w:left="2124" w:hanging="2124"/>
        <w:rPr>
          <w:rFonts w:cs="Times New Roman"/>
          <w:sz w:val="20"/>
          <w:szCs w:val="20"/>
          <w:lang w:val="en-GB"/>
        </w:rPr>
      </w:pPr>
      <w:r>
        <w:rPr>
          <w:rFonts w:cs="Arial"/>
          <w:sz w:val="22"/>
          <w:lang w:val="en-US"/>
        </w:rPr>
        <w:sym w:font="Wingdings" w:char="F02A"/>
      </w:r>
      <w:r>
        <w:rPr>
          <w:rFonts w:cs="Arial"/>
          <w:sz w:val="22"/>
          <w:lang w:val="en-US"/>
        </w:rPr>
        <w:t xml:space="preserve"> </w:t>
      </w:r>
      <w:r w:rsidRPr="00FE3D41">
        <w:rPr>
          <w:noProof/>
          <w:sz w:val="20"/>
          <w:szCs w:val="20"/>
          <w:lang w:val="en-US" w:eastAsia="fr-BE"/>
        </w:rPr>
        <w:t>gvannuscorps@fas.harvard.edu</w:t>
      </w:r>
      <w:r>
        <w:rPr>
          <w:rFonts w:cs="Times New Roman"/>
          <w:bCs/>
          <w:sz w:val="20"/>
          <w:szCs w:val="20"/>
          <w:lang w:val="en-GB"/>
        </w:rPr>
        <w:t xml:space="preserve"> </w:t>
      </w:r>
    </w:p>
    <w:p w:rsidR="007120BA" w:rsidRPr="007120BA" w:rsidRDefault="007120BA" w:rsidP="00FE3D41">
      <w:pPr>
        <w:ind w:left="2124" w:hanging="2124"/>
        <w:rPr>
          <w:rFonts w:cs="Times New Roman"/>
          <w:sz w:val="20"/>
          <w:szCs w:val="20"/>
          <w:lang w:val="en-GB"/>
        </w:rPr>
      </w:pPr>
    </w:p>
    <w:p w:rsidR="00AA7649" w:rsidRDefault="00AA7649" w:rsidP="009D12A4">
      <w:pPr>
        <w:autoSpaceDE w:val="0"/>
        <w:autoSpaceDN w:val="0"/>
        <w:adjustRightInd w:val="0"/>
        <w:rPr>
          <w:rFonts w:cs="Times New Roman"/>
          <w:b/>
          <w:bCs/>
          <w:smallCaps/>
          <w:sz w:val="28"/>
          <w:szCs w:val="24"/>
          <w:lang w:val="en-US"/>
        </w:rPr>
      </w:pPr>
    </w:p>
    <w:p w:rsidR="006F601C" w:rsidRPr="00C91518" w:rsidRDefault="006F601C" w:rsidP="009D12A4">
      <w:pPr>
        <w:autoSpaceDE w:val="0"/>
        <w:autoSpaceDN w:val="0"/>
        <w:adjustRightInd w:val="0"/>
        <w:rPr>
          <w:rFonts w:cs="Times New Roman"/>
          <w:smallCaps/>
          <w:sz w:val="22"/>
          <w:szCs w:val="20"/>
          <w:lang w:val="en-US"/>
        </w:rPr>
      </w:pPr>
      <w:r w:rsidRPr="00C91518">
        <w:rPr>
          <w:rFonts w:cs="Times New Roman"/>
          <w:b/>
          <w:bCs/>
          <w:smallCaps/>
          <w:sz w:val="28"/>
          <w:szCs w:val="24"/>
          <w:lang w:val="en-US"/>
        </w:rPr>
        <w:t>Career Summary</w:t>
      </w:r>
    </w:p>
    <w:p w:rsidR="0075455C" w:rsidRPr="00C259D6" w:rsidRDefault="00FE3D41" w:rsidP="008F02F5">
      <w:pPr>
        <w:spacing w:before="120"/>
        <w:jc w:val="both"/>
        <w:rPr>
          <w:sz w:val="22"/>
          <w:lang w:val="en-US"/>
        </w:rPr>
      </w:pPr>
      <w:r>
        <w:rPr>
          <w:rFonts w:cs="Times New Roman"/>
          <w:b/>
          <w:bCs/>
          <w:smallCaps/>
          <w:noProof/>
          <w:sz w:val="44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17B05" wp14:editId="298958EB">
                <wp:simplePos x="0" y="0"/>
                <wp:positionH relativeFrom="column">
                  <wp:posOffset>7328535</wp:posOffset>
                </wp:positionH>
                <wp:positionV relativeFrom="paragraph">
                  <wp:posOffset>43815</wp:posOffset>
                </wp:positionV>
                <wp:extent cx="2055495" cy="974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EB0" w:rsidRPr="00FE3D41" w:rsidRDefault="00F85EB0" w:rsidP="00FE3D41">
                            <w:pP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3D41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French (Mother tongue)</w:t>
                            </w:r>
                          </w:p>
                          <w:p w:rsidR="00F85EB0" w:rsidRPr="00FE3D41" w:rsidRDefault="00F85EB0" w:rsidP="00FE3D41">
                            <w:pP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3D41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English (Proficient User, C1)</w:t>
                            </w:r>
                          </w:p>
                          <w:p w:rsidR="00F85EB0" w:rsidRDefault="00F85EB0" w:rsidP="00FE3D41">
                            <w:pP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3D41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Dutch (Basic user, A2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F85EB0" w:rsidRPr="00FE3D41" w:rsidRDefault="00F85EB0" w:rsidP="00FE3D41">
                            <w:pP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3D41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Italian (Basic user, A2)</w:t>
                            </w:r>
                          </w:p>
                          <w:p w:rsidR="00F85EB0" w:rsidRPr="00FE3D41" w:rsidRDefault="00F85EB0" w:rsidP="00FE3D4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77.05pt;margin-top:3.45pt;width:161.85pt;height:7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" filled="f" stroked="f" strokeweight="2pt">
                <v:textbox>
                  <w:txbxContent>
                    <w:p w:rsidR="00F85EB0" w:rsidRPr="00FE3D41" w:rsidRDefault="00F85EB0" w:rsidP="00FE3D41">
                      <w:pP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3D41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French (Mother tongue)</w:t>
                      </w:r>
                    </w:p>
                    <w:p w:rsidR="00F85EB0" w:rsidRPr="00FE3D41" w:rsidRDefault="00F85EB0" w:rsidP="00FE3D41">
                      <w:pP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3D41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English (Proficient User, C1)</w:t>
                      </w:r>
                    </w:p>
                    <w:p w:rsidR="00F85EB0" w:rsidRDefault="00F85EB0" w:rsidP="00FE3D41">
                      <w:pP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3D41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Dutch (Basic user, A2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F85EB0" w:rsidRPr="00FE3D41" w:rsidRDefault="00F85EB0" w:rsidP="00FE3D41">
                      <w:pP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3D41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Italian (Basic user, A2)</w:t>
                      </w:r>
                    </w:p>
                    <w:p w:rsidR="00F85EB0" w:rsidRPr="00FE3D41" w:rsidRDefault="00F85EB0" w:rsidP="00FE3D4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325">
        <w:rPr>
          <w:rFonts w:cs="Arial"/>
          <w:sz w:val="22"/>
          <w:lang w:val="en-US"/>
        </w:rPr>
        <w:t xml:space="preserve">Six years of research experience on the </w:t>
      </w:r>
      <w:r w:rsidR="003052DD">
        <w:rPr>
          <w:rFonts w:cs="Arial"/>
          <w:sz w:val="22"/>
          <w:lang w:val="en-US"/>
        </w:rPr>
        <w:t>neuropsychology of language, action and perception</w:t>
      </w:r>
      <w:r w:rsidR="0075455C">
        <w:rPr>
          <w:rFonts w:cs="Arial"/>
          <w:sz w:val="22"/>
          <w:lang w:val="en-US"/>
        </w:rPr>
        <w:t xml:space="preserve">. </w:t>
      </w:r>
      <w:r w:rsidR="002A4B2C">
        <w:rPr>
          <w:rFonts w:cs="Arial"/>
          <w:sz w:val="22"/>
          <w:lang w:val="en-US"/>
        </w:rPr>
        <w:t xml:space="preserve">The main </w:t>
      </w:r>
      <w:r w:rsidR="006F601C" w:rsidRPr="006F601C">
        <w:rPr>
          <w:rFonts w:cs="Arial"/>
          <w:sz w:val="22"/>
          <w:lang w:val="en-US"/>
        </w:rPr>
        <w:t xml:space="preserve">approach was the </w:t>
      </w:r>
      <w:r w:rsidR="00A6673E">
        <w:rPr>
          <w:rFonts w:cs="Arial"/>
          <w:sz w:val="22"/>
          <w:lang w:val="en-US"/>
        </w:rPr>
        <w:t xml:space="preserve">neuropsychological </w:t>
      </w:r>
      <w:r w:rsidR="006F601C" w:rsidRPr="006F601C">
        <w:rPr>
          <w:rFonts w:cs="Arial"/>
          <w:sz w:val="22"/>
          <w:lang w:val="en-US"/>
        </w:rPr>
        <w:t xml:space="preserve">study </w:t>
      </w:r>
      <w:r w:rsidR="0075455C">
        <w:rPr>
          <w:rFonts w:cs="Arial"/>
          <w:sz w:val="22"/>
          <w:lang w:val="en-US"/>
        </w:rPr>
        <w:t xml:space="preserve">of </w:t>
      </w:r>
      <w:r w:rsidR="003052DD">
        <w:rPr>
          <w:rFonts w:cs="Arial"/>
          <w:sz w:val="22"/>
          <w:lang w:val="en-US"/>
        </w:rPr>
        <w:t>individuals</w:t>
      </w:r>
      <w:r w:rsidR="0075455C">
        <w:rPr>
          <w:rFonts w:cs="Arial"/>
          <w:sz w:val="22"/>
          <w:lang w:val="en-US"/>
        </w:rPr>
        <w:t xml:space="preserve"> with developmental </w:t>
      </w:r>
      <w:r w:rsidR="003052DD">
        <w:rPr>
          <w:rFonts w:cs="Arial"/>
          <w:sz w:val="22"/>
          <w:lang w:val="en-US"/>
        </w:rPr>
        <w:t>and</w:t>
      </w:r>
      <w:r w:rsidR="0075455C">
        <w:rPr>
          <w:rFonts w:cs="Arial"/>
          <w:sz w:val="22"/>
          <w:lang w:val="en-US"/>
        </w:rPr>
        <w:t xml:space="preserve"> acquired (focal </w:t>
      </w:r>
      <w:r w:rsidR="003052DD">
        <w:rPr>
          <w:rFonts w:cs="Arial"/>
          <w:sz w:val="22"/>
          <w:lang w:val="en-US"/>
        </w:rPr>
        <w:t xml:space="preserve">and degenerative) </w:t>
      </w:r>
      <w:r w:rsidR="00B845AC">
        <w:rPr>
          <w:rFonts w:cs="Arial"/>
          <w:sz w:val="22"/>
          <w:lang w:val="en-US"/>
        </w:rPr>
        <w:t>language</w:t>
      </w:r>
      <w:r w:rsidR="003052DD">
        <w:rPr>
          <w:rFonts w:cs="Arial"/>
          <w:sz w:val="22"/>
          <w:lang w:val="en-US"/>
        </w:rPr>
        <w:t xml:space="preserve">, perceptual, motor </w:t>
      </w:r>
      <w:r w:rsidR="008F02F5">
        <w:rPr>
          <w:rFonts w:cs="Arial"/>
          <w:sz w:val="22"/>
          <w:lang w:val="en-US"/>
        </w:rPr>
        <w:t>or</w:t>
      </w:r>
      <w:r w:rsidR="003052DD">
        <w:rPr>
          <w:rFonts w:cs="Arial"/>
          <w:sz w:val="22"/>
          <w:lang w:val="en-US"/>
        </w:rPr>
        <w:t xml:space="preserve"> </w:t>
      </w:r>
      <w:r w:rsidR="0075455C">
        <w:rPr>
          <w:rFonts w:cs="Arial"/>
          <w:sz w:val="22"/>
          <w:lang w:val="en-US"/>
        </w:rPr>
        <w:t xml:space="preserve">conceptual </w:t>
      </w:r>
      <w:r w:rsidR="00B845AC">
        <w:rPr>
          <w:rFonts w:cs="Arial"/>
          <w:sz w:val="22"/>
          <w:lang w:val="en-US"/>
        </w:rPr>
        <w:t>disorders</w:t>
      </w:r>
      <w:r w:rsidR="00A6673E">
        <w:rPr>
          <w:rFonts w:cs="Arial"/>
          <w:sz w:val="22"/>
          <w:lang w:val="en-US"/>
        </w:rPr>
        <w:t xml:space="preserve">. </w:t>
      </w:r>
      <w:r w:rsidR="00C259D6">
        <w:rPr>
          <w:rFonts w:cs="Arial"/>
          <w:sz w:val="22"/>
          <w:lang w:val="en-US"/>
        </w:rPr>
        <w:t xml:space="preserve">Several </w:t>
      </w:r>
      <w:r w:rsidR="0075455C" w:rsidRPr="0075455C">
        <w:rPr>
          <w:sz w:val="22"/>
          <w:lang w:val="en-US"/>
        </w:rPr>
        <w:t>original theoretical and empirical contributions</w:t>
      </w:r>
      <w:r w:rsidR="00426E11">
        <w:rPr>
          <w:sz w:val="22"/>
          <w:lang w:val="en-US"/>
        </w:rPr>
        <w:t xml:space="preserve"> </w:t>
      </w:r>
      <w:r w:rsidR="003052DD">
        <w:rPr>
          <w:sz w:val="22"/>
          <w:lang w:val="en-US"/>
        </w:rPr>
        <w:t>published</w:t>
      </w:r>
      <w:r w:rsidR="00C259D6">
        <w:rPr>
          <w:sz w:val="22"/>
          <w:lang w:val="en-US"/>
        </w:rPr>
        <w:t xml:space="preserve">. </w:t>
      </w:r>
    </w:p>
    <w:p w:rsidR="00A12E27" w:rsidRPr="00767CBE" w:rsidRDefault="00A12E27" w:rsidP="00767CBE">
      <w:pPr>
        <w:autoSpaceDE w:val="0"/>
        <w:autoSpaceDN w:val="0"/>
        <w:adjustRightInd w:val="0"/>
        <w:spacing w:before="160"/>
        <w:rPr>
          <w:rFonts w:cs="Times New Roman"/>
          <w:b/>
          <w:bCs/>
          <w:szCs w:val="24"/>
          <w:lang w:val="en-US"/>
        </w:rPr>
      </w:pPr>
      <w:r w:rsidRPr="00C91518">
        <w:rPr>
          <w:rFonts w:cs="Times New Roman"/>
          <w:b/>
          <w:smallCaps/>
          <w:sz w:val="28"/>
          <w:szCs w:val="20"/>
          <w:lang w:val="en-US"/>
        </w:rPr>
        <w:t>Academic Appointments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A12E27" w:rsidTr="008F02F5">
        <w:tc>
          <w:tcPr>
            <w:tcW w:w="7797" w:type="dxa"/>
          </w:tcPr>
          <w:p w:rsidR="00A12E27" w:rsidRPr="001B053B" w:rsidRDefault="00A12E27" w:rsidP="00DD1608">
            <w:pPr>
              <w:spacing w:before="120"/>
              <w:rPr>
                <w:rFonts w:cs="Times New Roman"/>
                <w:sz w:val="22"/>
                <w:szCs w:val="20"/>
                <w:lang w:val="en-US"/>
              </w:rPr>
            </w:pPr>
            <w:r w:rsidRPr="001B053B">
              <w:rPr>
                <w:rFonts w:cs="Times New Roman"/>
                <w:bCs/>
                <w:sz w:val="22"/>
                <w:szCs w:val="20"/>
                <w:lang w:val="en-GB"/>
              </w:rPr>
              <w:t xml:space="preserve">Postdoctoral Research Fellow, </w:t>
            </w:r>
          </w:p>
        </w:tc>
        <w:tc>
          <w:tcPr>
            <w:tcW w:w="1383" w:type="dxa"/>
          </w:tcPr>
          <w:p w:rsidR="00A12E27" w:rsidRDefault="00A12E27" w:rsidP="00A12E27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12E27" w:rsidRPr="00EE5884" w:rsidTr="008F02F5">
        <w:tc>
          <w:tcPr>
            <w:tcW w:w="7797" w:type="dxa"/>
          </w:tcPr>
          <w:p w:rsidR="00A12E27" w:rsidRPr="001B053B" w:rsidRDefault="001B053B" w:rsidP="008F0601">
            <w:pPr>
              <w:rPr>
                <w:rFonts w:cs="Times New Roman"/>
                <w:sz w:val="22"/>
                <w:szCs w:val="20"/>
                <w:lang w:val="en-US"/>
              </w:rPr>
            </w:pPr>
            <w:r w:rsidRPr="001B053B">
              <w:rPr>
                <w:rFonts w:eastAsia="Cambria"/>
                <w:sz w:val="22"/>
                <w:szCs w:val="20"/>
                <w:lang w:val="en-GB"/>
              </w:rPr>
              <w:t xml:space="preserve">    </w:t>
            </w:r>
            <w:r>
              <w:rPr>
                <w:rFonts w:eastAsia="Cambria"/>
                <w:sz w:val="22"/>
                <w:szCs w:val="20"/>
                <w:lang w:val="en-GB"/>
              </w:rPr>
              <w:t xml:space="preserve">  </w:t>
            </w:r>
            <w:r w:rsidR="008F0601" w:rsidRPr="001B053B">
              <w:rPr>
                <w:rFonts w:cs="Times New Roman"/>
                <w:bCs/>
                <w:sz w:val="22"/>
                <w:szCs w:val="20"/>
                <w:lang w:val="en-GB"/>
              </w:rPr>
              <w:t>Department of Psychology, Harvard University, U.S. (MA)</w:t>
            </w:r>
          </w:p>
        </w:tc>
        <w:tc>
          <w:tcPr>
            <w:tcW w:w="1383" w:type="dxa"/>
          </w:tcPr>
          <w:p w:rsidR="00A12E27" w:rsidRPr="00EE5884" w:rsidRDefault="001B053B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EE5884">
              <w:rPr>
                <w:rFonts w:cs="Times New Roman"/>
                <w:i/>
                <w:sz w:val="20"/>
                <w:szCs w:val="20"/>
                <w:lang w:val="en-US"/>
              </w:rPr>
              <w:t>2013 - present</w:t>
            </w:r>
          </w:p>
        </w:tc>
      </w:tr>
      <w:tr w:rsidR="00A12E27" w:rsidTr="008F02F5">
        <w:tc>
          <w:tcPr>
            <w:tcW w:w="7797" w:type="dxa"/>
          </w:tcPr>
          <w:p w:rsidR="00A12E27" w:rsidRPr="001B053B" w:rsidRDefault="001B053B" w:rsidP="008F0601">
            <w:pPr>
              <w:ind w:left="1418" w:hanging="1418"/>
              <w:rPr>
                <w:rFonts w:cs="Times New Roman"/>
                <w:sz w:val="22"/>
                <w:szCs w:val="20"/>
                <w:lang w:val="en-GB"/>
              </w:rPr>
            </w:pPr>
            <w:r w:rsidRPr="001B053B">
              <w:rPr>
                <w:rFonts w:cs="Times New Roman"/>
                <w:sz w:val="22"/>
                <w:szCs w:val="20"/>
                <w:lang w:val="en-US"/>
              </w:rPr>
              <w:t xml:space="preserve">   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  </w:t>
            </w:r>
            <w:r w:rsidRPr="001B053B">
              <w:rPr>
                <w:rFonts w:cs="Times New Roman"/>
                <w:sz w:val="22"/>
                <w:szCs w:val="20"/>
                <w:lang w:val="en-US"/>
              </w:rPr>
              <w:t xml:space="preserve"> </w:t>
            </w:r>
            <w:r w:rsidR="008F0601" w:rsidRPr="001B053B">
              <w:rPr>
                <w:rFonts w:cs="Times New Roman"/>
                <w:bCs/>
                <w:sz w:val="22"/>
                <w:szCs w:val="20"/>
                <w:lang w:val="en-GB"/>
              </w:rPr>
              <w:t>Cent</w:t>
            </w:r>
            <w:r w:rsidR="008F0601">
              <w:rPr>
                <w:rFonts w:cs="Times New Roman"/>
                <w:bCs/>
                <w:sz w:val="22"/>
                <w:szCs w:val="20"/>
                <w:lang w:val="en-GB"/>
              </w:rPr>
              <w:t>er</w:t>
            </w:r>
            <w:r w:rsidR="008F0601" w:rsidRPr="001B053B">
              <w:rPr>
                <w:rFonts w:cs="Times New Roman"/>
                <w:bCs/>
                <w:sz w:val="22"/>
                <w:szCs w:val="20"/>
                <w:lang w:val="en-GB"/>
              </w:rPr>
              <w:t xml:space="preserve"> for Mind/Brain Sciences, University of Trento, Italy</w:t>
            </w:r>
            <w:r w:rsidR="008F0601">
              <w:rPr>
                <w:rFonts w:cs="Times New Roman"/>
                <w:bCs/>
                <w:sz w:val="22"/>
                <w:szCs w:val="20"/>
                <w:lang w:val="en-GB"/>
              </w:rPr>
              <w:t xml:space="preserve"> (TN)</w:t>
            </w:r>
            <w:r w:rsidR="008F0601" w:rsidRPr="001B053B">
              <w:rPr>
                <w:rFonts w:cs="Times New Roman"/>
                <w:bCs/>
                <w:sz w:val="22"/>
                <w:szCs w:val="20"/>
                <w:lang w:val="en-GB"/>
              </w:rPr>
              <w:t>.</w:t>
            </w:r>
          </w:p>
        </w:tc>
        <w:tc>
          <w:tcPr>
            <w:tcW w:w="1383" w:type="dxa"/>
          </w:tcPr>
          <w:p w:rsidR="00A12E27" w:rsidRPr="00EE5884" w:rsidRDefault="001B053B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EE5884">
              <w:rPr>
                <w:rFonts w:cs="Times New Roman"/>
                <w:i/>
                <w:sz w:val="20"/>
                <w:szCs w:val="20"/>
                <w:lang w:val="en-US"/>
              </w:rPr>
              <w:t>2013 - present</w:t>
            </w:r>
          </w:p>
        </w:tc>
      </w:tr>
      <w:tr w:rsidR="001B053B" w:rsidTr="008F02F5">
        <w:tc>
          <w:tcPr>
            <w:tcW w:w="7797" w:type="dxa"/>
          </w:tcPr>
          <w:p w:rsidR="001B053B" w:rsidRPr="001B053B" w:rsidRDefault="00920B52" w:rsidP="001B053B">
            <w:pPr>
              <w:ind w:left="1418" w:hanging="1418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 xml:space="preserve">      </w:t>
            </w:r>
            <w:r w:rsidR="001B053B">
              <w:rPr>
                <w:rFonts w:cs="Times New Roman"/>
                <w:sz w:val="22"/>
                <w:szCs w:val="20"/>
                <w:lang w:val="en-US"/>
              </w:rPr>
              <w:t>Supervisor: Professor Alfonso Caramazza</w:t>
            </w:r>
          </w:p>
        </w:tc>
        <w:tc>
          <w:tcPr>
            <w:tcW w:w="1383" w:type="dxa"/>
          </w:tcPr>
          <w:p w:rsidR="001B053B" w:rsidRDefault="001B053B" w:rsidP="00B95C8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B053B" w:rsidTr="008F02F5">
        <w:tc>
          <w:tcPr>
            <w:tcW w:w="7797" w:type="dxa"/>
          </w:tcPr>
          <w:p w:rsidR="001B053B" w:rsidRDefault="001B053B" w:rsidP="001B053B">
            <w:pPr>
              <w:ind w:left="1418" w:hanging="1418"/>
              <w:rPr>
                <w:rFonts w:cs="Times New Roman"/>
                <w:sz w:val="22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1B053B" w:rsidRDefault="001B053B" w:rsidP="00B95C8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E5884" w:rsidRPr="001B053B" w:rsidTr="008F02F5">
        <w:tc>
          <w:tcPr>
            <w:tcW w:w="7797" w:type="dxa"/>
          </w:tcPr>
          <w:p w:rsidR="00EE5884" w:rsidRPr="00EE5884" w:rsidRDefault="00EE5884" w:rsidP="00EE5884">
            <w:pPr>
              <w:jc w:val="both"/>
              <w:rPr>
                <w:rFonts w:cs="Times New Roman"/>
                <w:bCs/>
                <w:sz w:val="22"/>
                <w:szCs w:val="20"/>
                <w:lang w:val="fr-BE"/>
              </w:rPr>
            </w:pPr>
            <w:r w:rsidRPr="00EE5884">
              <w:rPr>
                <w:rFonts w:cs="Times New Roman"/>
                <w:sz w:val="22"/>
                <w:szCs w:val="20"/>
                <w:lang w:val="fr-BE"/>
              </w:rPr>
              <w:t xml:space="preserve">Research </w:t>
            </w:r>
            <w:proofErr w:type="spellStart"/>
            <w:r w:rsidRPr="00EE5884">
              <w:rPr>
                <w:rFonts w:cs="Times New Roman"/>
                <w:sz w:val="22"/>
                <w:szCs w:val="20"/>
                <w:lang w:val="fr-BE"/>
              </w:rPr>
              <w:t>Fellow</w:t>
            </w:r>
            <w:proofErr w:type="spellEnd"/>
            <w:r w:rsidRPr="00EE5884">
              <w:rPr>
                <w:rFonts w:cs="Times New Roman"/>
                <w:sz w:val="22"/>
                <w:szCs w:val="20"/>
                <w:lang w:val="fr-BE"/>
              </w:rPr>
              <w:t>,</w:t>
            </w:r>
          </w:p>
        </w:tc>
        <w:tc>
          <w:tcPr>
            <w:tcW w:w="1383" w:type="dxa"/>
          </w:tcPr>
          <w:p w:rsidR="00EE5884" w:rsidRPr="00EE5884" w:rsidRDefault="00EE5884" w:rsidP="00B95C88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EE5884" w:rsidRPr="001B053B" w:rsidTr="008F02F5">
        <w:tc>
          <w:tcPr>
            <w:tcW w:w="7797" w:type="dxa"/>
          </w:tcPr>
          <w:p w:rsidR="00EE5884" w:rsidRPr="00EE5884" w:rsidRDefault="00616F07" w:rsidP="00EE5884">
            <w:pPr>
              <w:ind w:firstLine="318"/>
              <w:jc w:val="both"/>
              <w:rPr>
                <w:rFonts w:cs="Times New Roman"/>
                <w:sz w:val="22"/>
                <w:szCs w:val="20"/>
                <w:lang w:val="fr-BE"/>
              </w:rPr>
            </w:pPr>
            <w:r>
              <w:rPr>
                <w:rFonts w:cs="Times New Roman"/>
                <w:sz w:val="22"/>
                <w:szCs w:val="20"/>
                <w:lang w:val="fr-BE"/>
              </w:rPr>
              <w:t xml:space="preserve">Institute of </w:t>
            </w:r>
            <w:proofErr w:type="spellStart"/>
            <w:r>
              <w:rPr>
                <w:rFonts w:cs="Times New Roman"/>
                <w:sz w:val="22"/>
                <w:szCs w:val="20"/>
                <w:lang w:val="fr-BE"/>
              </w:rPr>
              <w:t>Psychological</w:t>
            </w:r>
            <w:proofErr w:type="spellEnd"/>
            <w:r>
              <w:rPr>
                <w:rFonts w:cs="Times New Roman"/>
                <w:sz w:val="22"/>
                <w:szCs w:val="20"/>
                <w:lang w:val="fr-BE"/>
              </w:rPr>
              <w:t xml:space="preserve"> Sciences, </w:t>
            </w:r>
            <w:r w:rsidR="00EE5884" w:rsidRPr="00EE5884">
              <w:rPr>
                <w:rFonts w:cs="Times New Roman"/>
                <w:sz w:val="22"/>
                <w:szCs w:val="20"/>
                <w:lang w:val="fr-BE"/>
              </w:rPr>
              <w:t xml:space="preserve">Université catholique de Louvain, Belgium </w:t>
            </w:r>
          </w:p>
        </w:tc>
        <w:tc>
          <w:tcPr>
            <w:tcW w:w="1383" w:type="dxa"/>
            <w:vAlign w:val="center"/>
          </w:tcPr>
          <w:p w:rsidR="00EE5884" w:rsidRPr="00EE5884" w:rsidRDefault="00920B52" w:rsidP="00616F07">
            <w:pPr>
              <w:rPr>
                <w:rFonts w:cs="Times New Roman"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2008</w:t>
            </w:r>
            <w:r w:rsidRPr="00EE5884">
              <w:rPr>
                <w:rFonts w:cs="Times New Roman"/>
                <w:i/>
                <w:sz w:val="20"/>
                <w:szCs w:val="20"/>
                <w:lang w:val="fr-BE"/>
              </w:rPr>
              <w:t xml:space="preserve"> – 2013</w:t>
            </w:r>
          </w:p>
        </w:tc>
      </w:tr>
      <w:tr w:rsidR="00EE5884" w:rsidRPr="001B053B" w:rsidTr="008F02F5">
        <w:tc>
          <w:tcPr>
            <w:tcW w:w="7797" w:type="dxa"/>
          </w:tcPr>
          <w:p w:rsidR="00EE5884" w:rsidRPr="00EE5884" w:rsidRDefault="00EE5884" w:rsidP="00920B52">
            <w:pPr>
              <w:ind w:firstLine="318"/>
              <w:jc w:val="both"/>
              <w:rPr>
                <w:rFonts w:cs="Times New Roman"/>
                <w:sz w:val="22"/>
                <w:szCs w:val="20"/>
                <w:lang w:val="fr-BE"/>
              </w:rPr>
            </w:pPr>
            <w:proofErr w:type="spellStart"/>
            <w:r w:rsidRPr="00EE5884">
              <w:rPr>
                <w:rFonts w:cs="Times New Roman"/>
                <w:sz w:val="22"/>
                <w:szCs w:val="20"/>
                <w:lang w:val="fr-BE"/>
              </w:rPr>
              <w:t>Advisor</w:t>
            </w:r>
            <w:proofErr w:type="spellEnd"/>
            <w:r w:rsidRPr="00EE5884">
              <w:rPr>
                <w:rFonts w:cs="Times New Roman"/>
                <w:sz w:val="22"/>
                <w:szCs w:val="20"/>
                <w:lang w:val="fr-BE"/>
              </w:rPr>
              <w:t>: Professor Agnesa Pillon</w:t>
            </w:r>
          </w:p>
        </w:tc>
        <w:tc>
          <w:tcPr>
            <w:tcW w:w="1383" w:type="dxa"/>
          </w:tcPr>
          <w:p w:rsidR="00EE5884" w:rsidRPr="00EE5884" w:rsidRDefault="00EE5884" w:rsidP="00A12E27">
            <w:pPr>
              <w:rPr>
                <w:rFonts w:cs="Times New Roman"/>
                <w:sz w:val="20"/>
                <w:szCs w:val="20"/>
                <w:lang w:val="fr-BE"/>
              </w:rPr>
            </w:pPr>
          </w:p>
        </w:tc>
      </w:tr>
    </w:tbl>
    <w:p w:rsidR="003A7BBD" w:rsidRPr="00C91518" w:rsidRDefault="00E21928" w:rsidP="00767CBE">
      <w:pPr>
        <w:autoSpaceDE w:val="0"/>
        <w:autoSpaceDN w:val="0"/>
        <w:adjustRightInd w:val="0"/>
        <w:spacing w:before="160"/>
        <w:rPr>
          <w:rFonts w:cs="Times New Roman"/>
          <w:smallCaps/>
          <w:sz w:val="22"/>
          <w:szCs w:val="20"/>
          <w:lang w:val="en-US"/>
        </w:rPr>
      </w:pPr>
      <w:r w:rsidRPr="00C91518">
        <w:rPr>
          <w:rFonts w:cs="Times New Roman"/>
          <w:b/>
          <w:bCs/>
          <w:smallCaps/>
          <w:sz w:val="28"/>
          <w:szCs w:val="24"/>
          <w:lang w:val="en-US"/>
        </w:rPr>
        <w:t>Education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920B52" w:rsidTr="00CB675C">
        <w:tc>
          <w:tcPr>
            <w:tcW w:w="7797" w:type="dxa"/>
          </w:tcPr>
          <w:p w:rsidR="00920B52" w:rsidRPr="001B053B" w:rsidRDefault="00AA7649" w:rsidP="00AA7649">
            <w:pPr>
              <w:spacing w:before="120"/>
              <w:rPr>
                <w:rFonts w:cs="Times New Roman"/>
                <w:sz w:val="22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2"/>
                <w:szCs w:val="20"/>
                <w:lang w:val="fr-BE"/>
              </w:rPr>
              <w:t>Ph.D</w:t>
            </w:r>
            <w:proofErr w:type="spellEnd"/>
            <w:r>
              <w:rPr>
                <w:rFonts w:cs="Times New Roman"/>
                <w:bCs/>
                <w:sz w:val="22"/>
                <w:szCs w:val="20"/>
                <w:lang w:val="fr-BE"/>
              </w:rPr>
              <w:t xml:space="preserve">. </w:t>
            </w:r>
            <w:proofErr w:type="spellStart"/>
            <w:r w:rsidR="00920B52" w:rsidRPr="0084488E">
              <w:rPr>
                <w:rFonts w:cs="Times New Roman"/>
                <w:sz w:val="22"/>
                <w:szCs w:val="20"/>
                <w:lang w:val="fr-BE"/>
              </w:rPr>
              <w:t>Psychological</w:t>
            </w:r>
            <w:proofErr w:type="spellEnd"/>
            <w:r w:rsidR="00920B52" w:rsidRPr="0084488E">
              <w:rPr>
                <w:rFonts w:cs="Times New Roman"/>
                <w:sz w:val="22"/>
                <w:szCs w:val="20"/>
                <w:lang w:val="fr-BE"/>
              </w:rPr>
              <w:t xml:space="preserve"> Sciences. 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920B52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920B52" w:rsidRPr="00EE5884" w:rsidTr="00CB675C">
        <w:tc>
          <w:tcPr>
            <w:tcW w:w="7797" w:type="dxa"/>
          </w:tcPr>
          <w:p w:rsidR="00920B52" w:rsidRPr="00920B52" w:rsidRDefault="00920B52" w:rsidP="00920B52">
            <w:pPr>
              <w:ind w:firstLine="318"/>
              <w:rPr>
                <w:rFonts w:cs="Times New Roman"/>
                <w:sz w:val="22"/>
                <w:szCs w:val="20"/>
                <w:lang w:val="fr-BE"/>
              </w:rPr>
            </w:pPr>
            <w:r w:rsidRPr="0084488E">
              <w:rPr>
                <w:rFonts w:cs="Times New Roman"/>
                <w:sz w:val="22"/>
                <w:szCs w:val="20"/>
                <w:lang w:val="fr-BE"/>
              </w:rPr>
              <w:t>Université catholique de Louvain, Belgium.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920B52">
              <w:rPr>
                <w:rFonts w:cs="Times New Roman"/>
                <w:i/>
                <w:sz w:val="20"/>
                <w:szCs w:val="20"/>
                <w:lang w:val="fr-BE"/>
              </w:rPr>
              <w:t>2008 – 2013</w:t>
            </w:r>
          </w:p>
        </w:tc>
      </w:tr>
      <w:tr w:rsidR="00920B52" w:rsidTr="00CB675C">
        <w:tc>
          <w:tcPr>
            <w:tcW w:w="7797" w:type="dxa"/>
          </w:tcPr>
          <w:p w:rsidR="00920B52" w:rsidRPr="001B053B" w:rsidRDefault="00920B52" w:rsidP="00B972DD">
            <w:pPr>
              <w:ind w:left="1418" w:hanging="1100"/>
              <w:rPr>
                <w:rFonts w:cs="Times New Roman"/>
                <w:sz w:val="22"/>
                <w:szCs w:val="20"/>
                <w:lang w:val="en-US"/>
              </w:rPr>
            </w:pPr>
            <w:proofErr w:type="spellStart"/>
            <w:r w:rsidRPr="00EE5884">
              <w:rPr>
                <w:rFonts w:cs="Times New Roman"/>
                <w:sz w:val="22"/>
                <w:szCs w:val="20"/>
                <w:lang w:val="fr-BE"/>
              </w:rPr>
              <w:t>Advisor</w:t>
            </w:r>
            <w:proofErr w:type="spellEnd"/>
            <w:r w:rsidRPr="00EE5884">
              <w:rPr>
                <w:rFonts w:cs="Times New Roman"/>
                <w:sz w:val="22"/>
                <w:szCs w:val="20"/>
                <w:lang w:val="fr-BE"/>
              </w:rPr>
              <w:t>: Professor Agnesa Pillon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920B52" w:rsidRPr="00687D79" w:rsidTr="00CB675C">
        <w:tc>
          <w:tcPr>
            <w:tcW w:w="7797" w:type="dxa"/>
          </w:tcPr>
          <w:p w:rsidR="00920B52" w:rsidRDefault="00920B52" w:rsidP="00B972DD">
            <w:pPr>
              <w:ind w:left="1418" w:hanging="1100"/>
              <w:rPr>
                <w:rFonts w:cs="Times New Roman"/>
                <w:sz w:val="22"/>
                <w:szCs w:val="20"/>
                <w:lang w:val="en-US"/>
              </w:rPr>
            </w:pPr>
            <w:r w:rsidRPr="00920B52">
              <w:rPr>
                <w:rFonts w:cs="Times New Roman"/>
                <w:sz w:val="22"/>
                <w:szCs w:val="20"/>
                <w:u w:val="single"/>
                <w:lang w:val="en-US"/>
              </w:rPr>
              <w:t>Dissertation</w:t>
            </w:r>
            <w:r w:rsidRPr="0084488E">
              <w:rPr>
                <w:rFonts w:cs="Times New Roman"/>
                <w:sz w:val="22"/>
                <w:szCs w:val="20"/>
                <w:lang w:val="en-US"/>
              </w:rPr>
              <w:t>: ‘On the role of motor representations and processes in the comprehension of actions and objects’.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920B52" w:rsidRPr="00687D79" w:rsidTr="00CB675C">
        <w:tc>
          <w:tcPr>
            <w:tcW w:w="7797" w:type="dxa"/>
          </w:tcPr>
          <w:p w:rsidR="00920B52" w:rsidRDefault="00920B52" w:rsidP="00920B52">
            <w:pPr>
              <w:ind w:left="1418" w:hanging="1100"/>
              <w:rPr>
                <w:rFonts w:cs="Times New Roman"/>
                <w:sz w:val="22"/>
                <w:szCs w:val="20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920B52" w:rsidRPr="00920B52" w:rsidTr="00CB675C">
        <w:tc>
          <w:tcPr>
            <w:tcW w:w="7797" w:type="dxa"/>
          </w:tcPr>
          <w:p w:rsidR="00920B52" w:rsidRPr="00920B52" w:rsidRDefault="00920B52" w:rsidP="00920B52">
            <w:pPr>
              <w:rPr>
                <w:rFonts w:cs="Times New Roman"/>
                <w:sz w:val="22"/>
                <w:szCs w:val="20"/>
                <w:lang w:val="en-US"/>
              </w:rPr>
            </w:pPr>
            <w:r w:rsidRPr="00920B52">
              <w:rPr>
                <w:rFonts w:cs="Times New Roman"/>
                <w:sz w:val="22"/>
                <w:szCs w:val="20"/>
                <w:lang w:val="en-US"/>
              </w:rPr>
              <w:t>M.A.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 </w:t>
            </w:r>
            <w:r w:rsidRPr="00920B52">
              <w:rPr>
                <w:rFonts w:cs="Times New Roman"/>
                <w:sz w:val="22"/>
                <w:szCs w:val="20"/>
                <w:lang w:val="en-US"/>
              </w:rPr>
              <w:t>Speech Therapy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920B52" w:rsidRPr="00920B52" w:rsidTr="00CB675C">
        <w:tc>
          <w:tcPr>
            <w:tcW w:w="7797" w:type="dxa"/>
          </w:tcPr>
          <w:p w:rsidR="00920B52" w:rsidRPr="00920B52" w:rsidRDefault="00261501" w:rsidP="00261501">
            <w:pPr>
              <w:ind w:firstLine="318"/>
              <w:rPr>
                <w:rFonts w:cs="Times New Roman"/>
                <w:bCs/>
                <w:sz w:val="12"/>
                <w:szCs w:val="20"/>
                <w:lang w:val="fr-BE"/>
              </w:rPr>
            </w:pPr>
            <w:r w:rsidRPr="0084488E">
              <w:rPr>
                <w:sz w:val="22"/>
                <w:szCs w:val="20"/>
                <w:lang w:val="fr-BE"/>
              </w:rPr>
              <w:t xml:space="preserve">Mention: </w:t>
            </w:r>
            <w:r w:rsidRPr="0084488E">
              <w:rPr>
                <w:i/>
                <w:sz w:val="22"/>
                <w:szCs w:val="20"/>
                <w:lang w:val="fr-BE"/>
              </w:rPr>
              <w:t>A</w:t>
            </w:r>
            <w:r w:rsidRPr="0084488E">
              <w:rPr>
                <w:rFonts w:cs="Times New Roman"/>
                <w:i/>
                <w:sz w:val="22"/>
                <w:szCs w:val="20"/>
                <w:lang w:val="fr-BE"/>
              </w:rPr>
              <w:t xml:space="preserve">vec la plus grande distinction </w:t>
            </w:r>
            <w:r w:rsidRPr="0084488E">
              <w:rPr>
                <w:rFonts w:cs="Times New Roman"/>
                <w:sz w:val="22"/>
                <w:szCs w:val="20"/>
                <w:lang w:val="fr-BE"/>
              </w:rPr>
              <w:t>(</w:t>
            </w:r>
            <w:r w:rsidRPr="00261501">
              <w:rPr>
                <w:rFonts w:cs="Times New Roman"/>
                <w:sz w:val="22"/>
                <w:szCs w:val="20"/>
                <w:lang w:val="fr-BE"/>
              </w:rPr>
              <w:t>1</w:t>
            </w:r>
            <w:r w:rsidRPr="00261501">
              <w:rPr>
                <w:rFonts w:cs="Times New Roman"/>
                <w:sz w:val="22"/>
                <w:szCs w:val="20"/>
                <w:vertAlign w:val="superscript"/>
                <w:lang w:val="fr-BE"/>
              </w:rPr>
              <w:t>st</w:t>
            </w:r>
            <w:r w:rsidRPr="00261501">
              <w:rPr>
                <w:rFonts w:cs="Times New Roman"/>
                <w:sz w:val="22"/>
                <w:szCs w:val="20"/>
                <w:lang w:val="fr-BE"/>
              </w:rPr>
              <w:t xml:space="preserve"> of the promotion </w:t>
            </w:r>
            <w:proofErr w:type="spellStart"/>
            <w:r w:rsidRPr="00261501">
              <w:rPr>
                <w:rFonts w:cs="Times New Roman"/>
                <w:sz w:val="22"/>
                <w:szCs w:val="20"/>
                <w:lang w:val="fr-BE"/>
              </w:rPr>
              <w:t>each</w:t>
            </w:r>
            <w:proofErr w:type="spellEnd"/>
            <w:r w:rsidRPr="00261501">
              <w:rPr>
                <w:rFonts w:cs="Times New Roman"/>
                <w:sz w:val="22"/>
                <w:szCs w:val="20"/>
                <w:lang w:val="fr-BE"/>
              </w:rPr>
              <w:t xml:space="preserve"> </w:t>
            </w:r>
            <w:proofErr w:type="spellStart"/>
            <w:r w:rsidRPr="00261501">
              <w:rPr>
                <w:rFonts w:cs="Times New Roman"/>
                <w:sz w:val="22"/>
                <w:szCs w:val="20"/>
                <w:lang w:val="fr-BE"/>
              </w:rPr>
              <w:t>year</w:t>
            </w:r>
            <w:proofErr w:type="spellEnd"/>
            <w:r w:rsidRPr="0084488E">
              <w:rPr>
                <w:rFonts w:cs="Times New Roman"/>
                <w:sz w:val="22"/>
                <w:szCs w:val="20"/>
                <w:lang w:val="fr-BE"/>
              </w:rPr>
              <w:t xml:space="preserve">). 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920B52">
              <w:rPr>
                <w:rFonts w:cs="Times New Roman"/>
                <w:i/>
                <w:sz w:val="20"/>
                <w:szCs w:val="20"/>
                <w:lang w:val="fr-BE"/>
              </w:rPr>
              <w:t>2005 – 2008</w:t>
            </w:r>
          </w:p>
        </w:tc>
      </w:tr>
      <w:tr w:rsidR="00920B52" w:rsidRPr="00920B52" w:rsidTr="00CB675C">
        <w:tc>
          <w:tcPr>
            <w:tcW w:w="7797" w:type="dxa"/>
          </w:tcPr>
          <w:p w:rsidR="00920B52" w:rsidRPr="00920B52" w:rsidRDefault="00261501" w:rsidP="00920B52">
            <w:pPr>
              <w:ind w:left="1416" w:hanging="1098"/>
              <w:jc w:val="both"/>
              <w:rPr>
                <w:rFonts w:cs="Times New Roman"/>
                <w:bCs/>
                <w:sz w:val="22"/>
                <w:szCs w:val="20"/>
                <w:lang w:val="fr-BE"/>
              </w:rPr>
            </w:pPr>
            <w:r w:rsidRPr="0084488E">
              <w:rPr>
                <w:rFonts w:cs="Times New Roman"/>
                <w:sz w:val="22"/>
                <w:szCs w:val="20"/>
                <w:lang w:val="fr-BE"/>
              </w:rPr>
              <w:t>Université catholique de Louvain, Belgium.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920B52" w:rsidRPr="00261501" w:rsidTr="00CB675C">
        <w:tc>
          <w:tcPr>
            <w:tcW w:w="7797" w:type="dxa"/>
          </w:tcPr>
          <w:p w:rsidR="00920B52" w:rsidRPr="00261501" w:rsidRDefault="00920B52" w:rsidP="00B972DD">
            <w:pPr>
              <w:ind w:firstLine="743"/>
              <w:jc w:val="both"/>
              <w:rPr>
                <w:rFonts w:cs="Times New Roman"/>
                <w:sz w:val="22"/>
                <w:szCs w:val="20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920B52" w:rsidRPr="00261501" w:rsidRDefault="00920B52" w:rsidP="00B95C88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920B52" w:rsidRPr="00920B52" w:rsidTr="00CB675C">
        <w:tc>
          <w:tcPr>
            <w:tcW w:w="7797" w:type="dxa"/>
          </w:tcPr>
          <w:p w:rsidR="00920B52" w:rsidRPr="00920B52" w:rsidRDefault="00920B52" w:rsidP="00920B52">
            <w:pPr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B.A. Psychology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920B52" w:rsidRPr="00920B52" w:rsidTr="00CB675C">
        <w:tc>
          <w:tcPr>
            <w:tcW w:w="7797" w:type="dxa"/>
          </w:tcPr>
          <w:p w:rsidR="00920B52" w:rsidRPr="00920B52" w:rsidRDefault="00261501" w:rsidP="00261501">
            <w:pPr>
              <w:tabs>
                <w:tab w:val="left" w:pos="294"/>
              </w:tabs>
              <w:ind w:left="318"/>
              <w:jc w:val="both"/>
              <w:rPr>
                <w:rFonts w:cs="Times New Roman"/>
                <w:sz w:val="22"/>
                <w:szCs w:val="20"/>
                <w:lang w:val="fr-BE"/>
              </w:rPr>
            </w:pPr>
            <w:r w:rsidRPr="0084488E">
              <w:rPr>
                <w:sz w:val="22"/>
                <w:szCs w:val="20"/>
                <w:lang w:val="fr-BE"/>
              </w:rPr>
              <w:t xml:space="preserve">Mention: </w:t>
            </w:r>
            <w:r w:rsidRPr="0084488E">
              <w:rPr>
                <w:i/>
                <w:sz w:val="22"/>
                <w:szCs w:val="20"/>
                <w:lang w:val="fr-BE"/>
              </w:rPr>
              <w:t>A</w:t>
            </w:r>
            <w:r w:rsidRPr="0084488E">
              <w:rPr>
                <w:rFonts w:cs="Times New Roman"/>
                <w:i/>
                <w:sz w:val="22"/>
                <w:szCs w:val="20"/>
                <w:lang w:val="fr-BE"/>
              </w:rPr>
              <w:t xml:space="preserve">vec la plus grande distinction </w:t>
            </w:r>
            <w:r w:rsidRPr="0084488E">
              <w:rPr>
                <w:rFonts w:cs="Times New Roman"/>
                <w:sz w:val="22"/>
                <w:szCs w:val="20"/>
                <w:lang w:val="fr-BE"/>
              </w:rPr>
              <w:t>(</w:t>
            </w:r>
            <w:r w:rsidRPr="00261501">
              <w:rPr>
                <w:rFonts w:cs="Times New Roman"/>
                <w:sz w:val="22"/>
                <w:szCs w:val="20"/>
                <w:lang w:val="fr-BE"/>
              </w:rPr>
              <w:t>1</w:t>
            </w:r>
            <w:r w:rsidRPr="00261501">
              <w:rPr>
                <w:rFonts w:cs="Times New Roman"/>
                <w:sz w:val="22"/>
                <w:szCs w:val="20"/>
                <w:vertAlign w:val="superscript"/>
                <w:lang w:val="fr-BE"/>
              </w:rPr>
              <w:t>st</w:t>
            </w:r>
            <w:r w:rsidRPr="00261501">
              <w:rPr>
                <w:rFonts w:cs="Times New Roman"/>
                <w:sz w:val="22"/>
                <w:szCs w:val="20"/>
                <w:lang w:val="fr-BE"/>
              </w:rPr>
              <w:t xml:space="preserve"> of the promotion </w:t>
            </w:r>
            <w:proofErr w:type="spellStart"/>
            <w:r w:rsidRPr="00261501">
              <w:rPr>
                <w:rFonts w:cs="Times New Roman"/>
                <w:sz w:val="22"/>
                <w:szCs w:val="20"/>
                <w:lang w:val="fr-BE"/>
              </w:rPr>
              <w:t>each</w:t>
            </w:r>
            <w:proofErr w:type="spellEnd"/>
            <w:r w:rsidRPr="00261501">
              <w:rPr>
                <w:rFonts w:cs="Times New Roman"/>
                <w:sz w:val="22"/>
                <w:szCs w:val="20"/>
                <w:lang w:val="fr-BE"/>
              </w:rPr>
              <w:t xml:space="preserve"> </w:t>
            </w:r>
            <w:proofErr w:type="spellStart"/>
            <w:r w:rsidRPr="00261501">
              <w:rPr>
                <w:rFonts w:cs="Times New Roman"/>
                <w:sz w:val="22"/>
                <w:szCs w:val="20"/>
                <w:lang w:val="fr-BE"/>
              </w:rPr>
              <w:t>year</w:t>
            </w:r>
            <w:proofErr w:type="spellEnd"/>
            <w:r w:rsidRPr="0084488E">
              <w:rPr>
                <w:rFonts w:cs="Times New Roman"/>
                <w:sz w:val="22"/>
                <w:szCs w:val="20"/>
                <w:lang w:val="fr-BE"/>
              </w:rPr>
              <w:t xml:space="preserve">). </w:t>
            </w:r>
            <w:r w:rsidR="00920B52" w:rsidRPr="0084488E">
              <w:rPr>
                <w:rFonts w:cs="Times New Roman"/>
                <w:sz w:val="22"/>
                <w:szCs w:val="20"/>
                <w:lang w:val="fr-BE"/>
              </w:rPr>
              <w:t>Université catholique de Louvain, Belgium</w:t>
            </w:r>
          </w:p>
        </w:tc>
        <w:tc>
          <w:tcPr>
            <w:tcW w:w="1383" w:type="dxa"/>
            <w:vAlign w:val="center"/>
          </w:tcPr>
          <w:p w:rsidR="00920B52" w:rsidRPr="00920B52" w:rsidRDefault="00920B52" w:rsidP="00B95C88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920B52">
              <w:rPr>
                <w:rFonts w:cs="Times New Roman"/>
                <w:i/>
                <w:sz w:val="20"/>
                <w:szCs w:val="20"/>
                <w:lang w:val="en-US"/>
              </w:rPr>
              <w:t>2003 – 2005</w:t>
            </w:r>
          </w:p>
        </w:tc>
      </w:tr>
    </w:tbl>
    <w:p w:rsidR="00304BDC" w:rsidRDefault="007623EF" w:rsidP="00304BDC">
      <w:pPr>
        <w:autoSpaceDE w:val="0"/>
        <w:autoSpaceDN w:val="0"/>
        <w:adjustRightInd w:val="0"/>
        <w:spacing w:before="160" w:after="120"/>
        <w:rPr>
          <w:rFonts w:cs="Times New Roman"/>
          <w:b/>
          <w:bCs/>
          <w:smallCaps/>
          <w:sz w:val="28"/>
          <w:szCs w:val="24"/>
          <w:lang w:val="en-US"/>
        </w:rPr>
      </w:pPr>
      <w:r w:rsidRPr="00C91518">
        <w:rPr>
          <w:rFonts w:cs="Times New Roman"/>
          <w:b/>
          <w:bCs/>
          <w:smallCaps/>
          <w:sz w:val="28"/>
          <w:szCs w:val="24"/>
          <w:lang w:val="en-US"/>
        </w:rPr>
        <w:t>Grants, Fellowships and Honors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687D79" w:rsidRPr="00687D79" w:rsidTr="00687D79">
        <w:trPr>
          <w:trHeight w:val="184"/>
        </w:trPr>
        <w:tc>
          <w:tcPr>
            <w:tcW w:w="7797" w:type="dxa"/>
            <w:vAlign w:val="center"/>
          </w:tcPr>
          <w:p w:rsidR="00687D79" w:rsidRPr="00687D79" w:rsidRDefault="00687D79" w:rsidP="00687D79">
            <w:pPr>
              <w:spacing w:line="276" w:lineRule="auto"/>
              <w:ind w:firstLine="318"/>
              <w:rPr>
                <w:rFonts w:cs="Times New Roman"/>
                <w:bCs/>
                <w:sz w:val="22"/>
                <w:lang w:val="en-US"/>
              </w:rPr>
            </w:pPr>
            <w:r w:rsidRPr="00687D79">
              <w:rPr>
                <w:rFonts w:eastAsia="Times New Roman"/>
                <w:sz w:val="22"/>
                <w:lang w:val="en-US"/>
              </w:rPr>
              <w:t>Rovereto Workshop on Concepts, Actions, and Objects</w:t>
            </w:r>
            <w:r>
              <w:rPr>
                <w:rFonts w:eastAsia="Times New Roman"/>
                <w:sz w:val="22"/>
                <w:lang w:val="en-US"/>
              </w:rPr>
              <w:t xml:space="preserve">. Best poster award. </w:t>
            </w:r>
          </w:p>
        </w:tc>
        <w:tc>
          <w:tcPr>
            <w:tcW w:w="1383" w:type="dxa"/>
            <w:vAlign w:val="center"/>
          </w:tcPr>
          <w:p w:rsidR="00687D79" w:rsidRDefault="00687D79" w:rsidP="00974E9F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2015</w:t>
            </w:r>
          </w:p>
        </w:tc>
      </w:tr>
      <w:tr w:rsidR="00304BDC" w:rsidRPr="00687D79" w:rsidTr="00687D79">
        <w:trPr>
          <w:trHeight w:val="184"/>
        </w:trPr>
        <w:tc>
          <w:tcPr>
            <w:tcW w:w="7797" w:type="dxa"/>
            <w:vAlign w:val="center"/>
          </w:tcPr>
          <w:p w:rsidR="00304BDC" w:rsidRPr="00687D79" w:rsidRDefault="00304BDC" w:rsidP="00304BDC">
            <w:pPr>
              <w:spacing w:line="276" w:lineRule="auto"/>
              <w:ind w:firstLine="318"/>
              <w:rPr>
                <w:rFonts w:cs="Times New Roman"/>
                <w:sz w:val="22"/>
                <w:lang w:val="en-US"/>
              </w:rPr>
            </w:pPr>
            <w:r w:rsidRPr="00687D79">
              <w:rPr>
                <w:rFonts w:cs="Times New Roman"/>
                <w:bCs/>
                <w:sz w:val="22"/>
                <w:lang w:val="en-US"/>
              </w:rPr>
              <w:t xml:space="preserve">University of Trento. Research fellowship. </w:t>
            </w:r>
          </w:p>
        </w:tc>
        <w:tc>
          <w:tcPr>
            <w:tcW w:w="1383" w:type="dxa"/>
            <w:vAlign w:val="center"/>
          </w:tcPr>
          <w:p w:rsidR="00304BDC" w:rsidRPr="00920B52" w:rsidRDefault="00304BDC" w:rsidP="00974E9F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2013-2015</w:t>
            </w:r>
          </w:p>
        </w:tc>
      </w:tr>
      <w:tr w:rsidR="00304BDC" w:rsidRPr="00042521" w:rsidTr="00687D79">
        <w:trPr>
          <w:trHeight w:val="20"/>
        </w:trPr>
        <w:tc>
          <w:tcPr>
            <w:tcW w:w="7797" w:type="dxa"/>
            <w:vAlign w:val="center"/>
          </w:tcPr>
          <w:p w:rsidR="00304BDC" w:rsidRPr="00687D79" w:rsidRDefault="00304BDC" w:rsidP="00974E9F">
            <w:pPr>
              <w:spacing w:line="276" w:lineRule="auto"/>
              <w:ind w:left="1416" w:hanging="1098"/>
              <w:jc w:val="both"/>
              <w:rPr>
                <w:rFonts w:cs="Times New Roman"/>
                <w:bCs/>
                <w:sz w:val="22"/>
                <w:lang w:val="en-US"/>
              </w:rPr>
            </w:pPr>
            <w:r w:rsidRPr="00687D79">
              <w:rPr>
                <w:rFonts w:cs="Times New Roman"/>
                <w:sz w:val="22"/>
                <w:lang w:val="en-US"/>
              </w:rPr>
              <w:t xml:space="preserve">Université catholique de Louvain. Additional postdoctoral fellowship. </w:t>
            </w:r>
          </w:p>
        </w:tc>
        <w:tc>
          <w:tcPr>
            <w:tcW w:w="1383" w:type="dxa"/>
            <w:vAlign w:val="center"/>
          </w:tcPr>
          <w:p w:rsidR="00304BDC" w:rsidRPr="00042521" w:rsidRDefault="00304BDC" w:rsidP="00974E9F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2013-2014</w:t>
            </w:r>
          </w:p>
        </w:tc>
      </w:tr>
      <w:tr w:rsidR="00304BDC" w:rsidRPr="00EE5884" w:rsidTr="00687D79">
        <w:trPr>
          <w:trHeight w:val="20"/>
        </w:trPr>
        <w:tc>
          <w:tcPr>
            <w:tcW w:w="7797" w:type="dxa"/>
            <w:vAlign w:val="center"/>
          </w:tcPr>
          <w:p w:rsidR="00304BDC" w:rsidRPr="00042521" w:rsidRDefault="00304BDC" w:rsidP="00C91518">
            <w:pPr>
              <w:spacing w:line="276" w:lineRule="auto"/>
              <w:ind w:left="318"/>
              <w:rPr>
                <w:rFonts w:cs="Times New Roman"/>
                <w:sz w:val="22"/>
                <w:lang w:val="en-US"/>
              </w:rPr>
            </w:pPr>
            <w:r w:rsidRPr="00042521">
              <w:rPr>
                <w:rFonts w:cs="Times New Roman"/>
                <w:sz w:val="22"/>
                <w:lang w:val="en-US"/>
              </w:rPr>
              <w:t>Belgian American Exchange Foundation (BAEF). Honorary Fellowship.</w:t>
            </w:r>
          </w:p>
        </w:tc>
        <w:tc>
          <w:tcPr>
            <w:tcW w:w="1383" w:type="dxa"/>
            <w:vAlign w:val="center"/>
          </w:tcPr>
          <w:p w:rsidR="00304BDC" w:rsidRPr="00920B52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2013</w:t>
            </w:r>
          </w:p>
        </w:tc>
      </w:tr>
      <w:tr w:rsidR="00304BDC" w:rsidRPr="00EE5884" w:rsidTr="00687D79">
        <w:tc>
          <w:tcPr>
            <w:tcW w:w="7797" w:type="dxa"/>
            <w:vAlign w:val="center"/>
          </w:tcPr>
          <w:p w:rsidR="00304BDC" w:rsidRPr="00042521" w:rsidRDefault="00304BDC" w:rsidP="00C91518">
            <w:pPr>
              <w:spacing w:line="276" w:lineRule="auto"/>
              <w:ind w:left="1416" w:hanging="1098"/>
              <w:jc w:val="both"/>
              <w:rPr>
                <w:rFonts w:cs="Times New Roman"/>
                <w:sz w:val="22"/>
                <w:lang w:val="en-US"/>
              </w:rPr>
            </w:pPr>
            <w:proofErr w:type="spellStart"/>
            <w:r w:rsidRPr="00042521">
              <w:rPr>
                <w:rFonts w:cs="Times New Roman"/>
                <w:sz w:val="22"/>
                <w:lang w:val="en-US"/>
              </w:rPr>
              <w:t>Fondation</w:t>
            </w:r>
            <w:proofErr w:type="spellEnd"/>
            <w:r w:rsidRPr="00042521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042521">
              <w:rPr>
                <w:rFonts w:cs="Times New Roman"/>
                <w:sz w:val="22"/>
                <w:lang w:val="en-US"/>
              </w:rPr>
              <w:t>Fyssen</w:t>
            </w:r>
            <w:proofErr w:type="spellEnd"/>
            <w:r w:rsidRPr="00042521">
              <w:rPr>
                <w:rFonts w:cs="Times New Roman"/>
                <w:sz w:val="22"/>
                <w:lang w:val="en-US"/>
              </w:rPr>
              <w:t xml:space="preserve"> (France). Postdoctoral Fellowship. (</w:t>
            </w:r>
            <w:proofErr w:type="gramStart"/>
            <w:r w:rsidRPr="00042521">
              <w:rPr>
                <w:rFonts w:cs="Times New Roman"/>
                <w:sz w:val="22"/>
                <w:lang w:val="en-US"/>
              </w:rPr>
              <w:t>declined</w:t>
            </w:r>
            <w:proofErr w:type="gramEnd"/>
            <w:r w:rsidRPr="00042521">
              <w:rPr>
                <w:rFonts w:cs="Times New Roman"/>
                <w:sz w:val="22"/>
                <w:lang w:val="en-US"/>
              </w:rPr>
              <w:t xml:space="preserve">). </w:t>
            </w:r>
          </w:p>
        </w:tc>
        <w:tc>
          <w:tcPr>
            <w:tcW w:w="1383" w:type="dxa"/>
            <w:vAlign w:val="center"/>
          </w:tcPr>
          <w:p w:rsidR="00304BDC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2013</w:t>
            </w:r>
          </w:p>
        </w:tc>
      </w:tr>
      <w:tr w:rsidR="00304BDC" w:rsidTr="00687D79">
        <w:tc>
          <w:tcPr>
            <w:tcW w:w="7797" w:type="dxa"/>
            <w:vAlign w:val="center"/>
          </w:tcPr>
          <w:p w:rsidR="00304BDC" w:rsidRPr="00042521" w:rsidRDefault="00304BDC" w:rsidP="00C91518">
            <w:pPr>
              <w:spacing w:line="276" w:lineRule="auto"/>
              <w:ind w:left="318"/>
              <w:rPr>
                <w:rFonts w:cs="Times New Roman"/>
                <w:sz w:val="22"/>
                <w:lang w:val="en-US"/>
              </w:rPr>
            </w:pPr>
            <w:r w:rsidRPr="00042521">
              <w:rPr>
                <w:sz w:val="22"/>
                <w:lang w:val="en-US"/>
              </w:rPr>
              <w:t xml:space="preserve">Journal </w:t>
            </w:r>
            <w:r w:rsidRPr="00042521">
              <w:rPr>
                <w:i/>
                <w:sz w:val="22"/>
                <w:lang w:val="en-US"/>
              </w:rPr>
              <w:t xml:space="preserve">Cognitive Neuropsychology. </w:t>
            </w:r>
            <w:r w:rsidRPr="00042521">
              <w:rPr>
                <w:sz w:val="22"/>
                <w:lang w:val="en-US"/>
              </w:rPr>
              <w:t>Award for outstanding research by an early-stage researcher in the field of cognitive neuropsychology.</w:t>
            </w:r>
          </w:p>
        </w:tc>
        <w:tc>
          <w:tcPr>
            <w:tcW w:w="1383" w:type="dxa"/>
          </w:tcPr>
          <w:p w:rsidR="00304BDC" w:rsidRPr="00920B52" w:rsidRDefault="00304BDC" w:rsidP="003052DD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2012</w:t>
            </w:r>
          </w:p>
        </w:tc>
      </w:tr>
      <w:tr w:rsidR="00304BDC" w:rsidRPr="00042521" w:rsidTr="00687D79">
        <w:tc>
          <w:tcPr>
            <w:tcW w:w="7797" w:type="dxa"/>
            <w:vAlign w:val="center"/>
          </w:tcPr>
          <w:p w:rsidR="00304BDC" w:rsidRPr="00042521" w:rsidRDefault="00304BDC" w:rsidP="00687D79">
            <w:pPr>
              <w:spacing w:line="276" w:lineRule="auto"/>
              <w:ind w:firstLine="318"/>
              <w:rPr>
                <w:rFonts w:cs="Times New Roman"/>
                <w:sz w:val="22"/>
                <w:lang w:val="fr-BE"/>
              </w:rPr>
            </w:pPr>
            <w:r w:rsidRPr="00042521">
              <w:rPr>
                <w:sz w:val="22"/>
                <w:lang w:val="fr-BE"/>
              </w:rPr>
              <w:t xml:space="preserve">Université catholique de Louvain. Best poster </w:t>
            </w:r>
            <w:proofErr w:type="spellStart"/>
            <w:r w:rsidR="00687D79">
              <w:rPr>
                <w:sz w:val="22"/>
                <w:lang w:val="fr-BE"/>
              </w:rPr>
              <w:t>award</w:t>
            </w:r>
            <w:proofErr w:type="spellEnd"/>
            <w:r w:rsidRPr="00042521">
              <w:rPr>
                <w:sz w:val="22"/>
                <w:lang w:val="fr-BE"/>
              </w:rPr>
              <w:t xml:space="preserve">.  </w:t>
            </w:r>
          </w:p>
        </w:tc>
        <w:tc>
          <w:tcPr>
            <w:tcW w:w="1383" w:type="dxa"/>
            <w:vAlign w:val="center"/>
          </w:tcPr>
          <w:p w:rsidR="00304BDC" w:rsidRPr="00042521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2011</w:t>
            </w:r>
          </w:p>
        </w:tc>
      </w:tr>
      <w:tr w:rsidR="00304BDC" w:rsidRPr="00042521" w:rsidTr="00687D79">
        <w:tc>
          <w:tcPr>
            <w:tcW w:w="7797" w:type="dxa"/>
            <w:vAlign w:val="center"/>
          </w:tcPr>
          <w:p w:rsidR="00304BDC" w:rsidRPr="00042521" w:rsidRDefault="00304BDC" w:rsidP="00C91518">
            <w:pPr>
              <w:spacing w:line="276" w:lineRule="auto"/>
              <w:ind w:firstLine="318"/>
              <w:rPr>
                <w:sz w:val="22"/>
                <w:lang w:val="fr-BE"/>
              </w:rPr>
            </w:pPr>
            <w:r w:rsidRPr="00042521">
              <w:rPr>
                <w:bCs/>
                <w:sz w:val="22"/>
                <w:lang w:val="fr-BE"/>
              </w:rPr>
              <w:t xml:space="preserve">Fonds National de la Recherche Scientifique (Belgium). </w:t>
            </w:r>
            <w:r w:rsidRPr="00042521">
              <w:rPr>
                <w:rFonts w:cs="Times New Roman"/>
                <w:sz w:val="22"/>
                <w:lang w:val="fr-BE"/>
              </w:rPr>
              <w:t xml:space="preserve">Research </w:t>
            </w:r>
            <w:proofErr w:type="spellStart"/>
            <w:r w:rsidRPr="00042521">
              <w:rPr>
                <w:rFonts w:cs="Times New Roman"/>
                <w:sz w:val="22"/>
                <w:lang w:val="fr-BE"/>
              </w:rPr>
              <w:t>Fellowship</w:t>
            </w:r>
            <w:proofErr w:type="spellEnd"/>
            <w:r w:rsidRPr="00042521">
              <w:rPr>
                <w:rFonts w:cs="Times New Roman"/>
                <w:sz w:val="22"/>
                <w:lang w:val="fr-BE"/>
              </w:rPr>
              <w:t xml:space="preserve">. </w:t>
            </w:r>
          </w:p>
        </w:tc>
        <w:tc>
          <w:tcPr>
            <w:tcW w:w="1383" w:type="dxa"/>
            <w:vAlign w:val="center"/>
          </w:tcPr>
          <w:p w:rsidR="00304BDC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2009-2013</w:t>
            </w:r>
          </w:p>
        </w:tc>
      </w:tr>
      <w:tr w:rsidR="00304BDC" w:rsidRPr="00042521" w:rsidTr="00687D79">
        <w:tc>
          <w:tcPr>
            <w:tcW w:w="7797" w:type="dxa"/>
            <w:vAlign w:val="center"/>
          </w:tcPr>
          <w:p w:rsidR="00304BDC" w:rsidRPr="00042521" w:rsidRDefault="00304BDC" w:rsidP="00C91518">
            <w:pPr>
              <w:spacing w:line="276" w:lineRule="auto"/>
              <w:ind w:firstLine="318"/>
              <w:rPr>
                <w:bCs/>
                <w:sz w:val="22"/>
                <w:lang w:val="fr-BE"/>
              </w:rPr>
            </w:pPr>
            <w:r w:rsidRPr="00042521">
              <w:rPr>
                <w:bCs/>
                <w:sz w:val="22"/>
                <w:lang w:val="fr-BE"/>
              </w:rPr>
              <w:t xml:space="preserve">Fonds Spécial de la Recherche (Belgium). Doctoral Research </w:t>
            </w:r>
            <w:proofErr w:type="spellStart"/>
            <w:r w:rsidRPr="00042521">
              <w:rPr>
                <w:bCs/>
                <w:sz w:val="22"/>
                <w:lang w:val="fr-BE"/>
              </w:rPr>
              <w:t>Fellowship</w:t>
            </w:r>
            <w:proofErr w:type="spellEnd"/>
            <w:r w:rsidRPr="00042521">
              <w:rPr>
                <w:bCs/>
                <w:sz w:val="22"/>
                <w:lang w:val="fr-BE"/>
              </w:rPr>
              <w:t xml:space="preserve">. </w:t>
            </w:r>
          </w:p>
        </w:tc>
        <w:tc>
          <w:tcPr>
            <w:tcW w:w="1383" w:type="dxa"/>
            <w:vAlign w:val="center"/>
          </w:tcPr>
          <w:p w:rsidR="00304BDC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2008-2009</w:t>
            </w:r>
          </w:p>
        </w:tc>
      </w:tr>
      <w:tr w:rsidR="00304BDC" w:rsidRPr="00042521" w:rsidTr="00687D79">
        <w:tc>
          <w:tcPr>
            <w:tcW w:w="7797" w:type="dxa"/>
            <w:vAlign w:val="center"/>
          </w:tcPr>
          <w:p w:rsidR="00304BDC" w:rsidRPr="00591909" w:rsidRDefault="00304BDC" w:rsidP="00C91518">
            <w:pPr>
              <w:spacing w:line="276" w:lineRule="auto"/>
              <w:ind w:left="1418" w:hanging="1100"/>
              <w:rPr>
                <w:rFonts w:cs="Times New Roman"/>
                <w:sz w:val="22"/>
                <w:lang w:val="fr-BE"/>
              </w:rPr>
            </w:pPr>
            <w:r w:rsidRPr="00042521">
              <w:rPr>
                <w:rFonts w:cs="Times New Roman"/>
                <w:sz w:val="22"/>
                <w:lang w:val="fr-BE"/>
              </w:rPr>
              <w:t xml:space="preserve">Université catholique de Louvain. </w:t>
            </w:r>
            <w:r w:rsidRPr="00591909">
              <w:rPr>
                <w:rFonts w:cs="Times New Roman"/>
                <w:sz w:val="22"/>
                <w:lang w:val="fr-BE"/>
              </w:rPr>
              <w:t xml:space="preserve">M.A. </w:t>
            </w:r>
            <w:proofErr w:type="spellStart"/>
            <w:r w:rsidRPr="00591909">
              <w:rPr>
                <w:rFonts w:cs="Times New Roman"/>
                <w:sz w:val="22"/>
                <w:lang w:val="fr-BE"/>
              </w:rPr>
              <w:t>with</w:t>
            </w:r>
            <w:proofErr w:type="spellEnd"/>
            <w:r w:rsidRPr="00591909">
              <w:rPr>
                <w:rFonts w:cs="Times New Roman"/>
                <w:sz w:val="22"/>
                <w:lang w:val="fr-BE"/>
              </w:rPr>
              <w:t xml:space="preserve"> </w:t>
            </w:r>
            <w:proofErr w:type="spellStart"/>
            <w:r w:rsidRPr="00591909">
              <w:rPr>
                <w:rFonts w:cs="Times New Roman"/>
                <w:sz w:val="22"/>
                <w:szCs w:val="20"/>
                <w:lang w:val="fr-BE"/>
              </w:rPr>
              <w:t>Summa</w:t>
            </w:r>
            <w:proofErr w:type="spellEnd"/>
            <w:r w:rsidRPr="00591909">
              <w:rPr>
                <w:rFonts w:cs="Times New Roman"/>
                <w:sz w:val="22"/>
                <w:szCs w:val="20"/>
                <w:lang w:val="fr-BE"/>
              </w:rPr>
              <w:t xml:space="preserve"> Cum </w:t>
            </w:r>
            <w:proofErr w:type="spellStart"/>
            <w:r w:rsidRPr="00591909">
              <w:rPr>
                <w:rFonts w:cs="Times New Roman"/>
                <w:sz w:val="22"/>
                <w:szCs w:val="20"/>
                <w:lang w:val="fr-BE"/>
              </w:rPr>
              <w:t>Laude</w:t>
            </w:r>
            <w:proofErr w:type="spellEnd"/>
          </w:p>
        </w:tc>
        <w:tc>
          <w:tcPr>
            <w:tcW w:w="1383" w:type="dxa"/>
            <w:vAlign w:val="center"/>
          </w:tcPr>
          <w:p w:rsidR="00304BDC" w:rsidRPr="00042521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2008</w:t>
            </w:r>
          </w:p>
        </w:tc>
      </w:tr>
      <w:tr w:rsidR="00304BDC" w:rsidRPr="00042521" w:rsidTr="00687D79">
        <w:tc>
          <w:tcPr>
            <w:tcW w:w="7797" w:type="dxa"/>
            <w:vAlign w:val="center"/>
          </w:tcPr>
          <w:p w:rsidR="00304BDC" w:rsidRPr="00591909" w:rsidRDefault="00304BDC" w:rsidP="00C91518">
            <w:pPr>
              <w:spacing w:line="276" w:lineRule="auto"/>
              <w:ind w:firstLine="318"/>
              <w:rPr>
                <w:rFonts w:cs="Times New Roman"/>
                <w:sz w:val="22"/>
                <w:lang w:val="fr-BE"/>
              </w:rPr>
            </w:pPr>
            <w:r w:rsidRPr="00042521">
              <w:rPr>
                <w:rFonts w:cs="Times New Roman"/>
                <w:sz w:val="22"/>
                <w:lang w:val="fr-BE"/>
              </w:rPr>
              <w:lastRenderedPageBreak/>
              <w:t>Université catholique de Louvain</w:t>
            </w:r>
            <w:r w:rsidRPr="00591909">
              <w:rPr>
                <w:rFonts w:cs="Times New Roman"/>
                <w:sz w:val="22"/>
                <w:lang w:val="fr-BE"/>
              </w:rPr>
              <w:t xml:space="preserve">. B.A. </w:t>
            </w:r>
            <w:proofErr w:type="spellStart"/>
            <w:r w:rsidRPr="00591909">
              <w:rPr>
                <w:rFonts w:cs="Times New Roman"/>
                <w:sz w:val="22"/>
                <w:lang w:val="fr-BE"/>
              </w:rPr>
              <w:t>with</w:t>
            </w:r>
            <w:proofErr w:type="spellEnd"/>
            <w:r w:rsidRPr="00591909">
              <w:rPr>
                <w:rFonts w:cs="Times New Roman"/>
                <w:sz w:val="22"/>
                <w:lang w:val="fr-BE"/>
              </w:rPr>
              <w:t xml:space="preserve"> </w:t>
            </w:r>
            <w:proofErr w:type="spellStart"/>
            <w:r w:rsidRPr="00591909">
              <w:rPr>
                <w:rFonts w:cs="Times New Roman"/>
                <w:sz w:val="22"/>
                <w:szCs w:val="20"/>
                <w:lang w:val="fr-BE"/>
              </w:rPr>
              <w:t>Summa</w:t>
            </w:r>
            <w:proofErr w:type="spellEnd"/>
            <w:r w:rsidRPr="00591909">
              <w:rPr>
                <w:rFonts w:cs="Times New Roman"/>
                <w:sz w:val="22"/>
                <w:szCs w:val="20"/>
                <w:lang w:val="fr-BE"/>
              </w:rPr>
              <w:t xml:space="preserve"> Cum </w:t>
            </w:r>
            <w:proofErr w:type="spellStart"/>
            <w:r w:rsidRPr="00591909">
              <w:rPr>
                <w:rFonts w:cs="Times New Roman"/>
                <w:sz w:val="22"/>
                <w:szCs w:val="20"/>
                <w:lang w:val="fr-BE"/>
              </w:rPr>
              <w:t>Laude</w:t>
            </w:r>
            <w:proofErr w:type="spellEnd"/>
          </w:p>
        </w:tc>
        <w:tc>
          <w:tcPr>
            <w:tcW w:w="1383" w:type="dxa"/>
            <w:vAlign w:val="center"/>
          </w:tcPr>
          <w:p w:rsidR="00304BDC" w:rsidRPr="00042521" w:rsidRDefault="00304BDC" w:rsidP="00C91518">
            <w:pPr>
              <w:spacing w:line="276" w:lineRule="auto"/>
              <w:rPr>
                <w:rFonts w:cs="Times New Roman"/>
                <w:i/>
                <w:sz w:val="20"/>
                <w:szCs w:val="20"/>
                <w:lang w:val="fr-BE"/>
              </w:rPr>
            </w:pPr>
            <w:r>
              <w:rPr>
                <w:rFonts w:cs="Times New Roman"/>
                <w:i/>
                <w:sz w:val="20"/>
                <w:szCs w:val="20"/>
                <w:lang w:val="fr-BE"/>
              </w:rPr>
              <w:t>2005</w:t>
            </w:r>
          </w:p>
        </w:tc>
      </w:tr>
    </w:tbl>
    <w:p w:rsidR="00687D79" w:rsidRDefault="00687D79" w:rsidP="00C91518">
      <w:pPr>
        <w:rPr>
          <w:rFonts w:cs="Times New Roman"/>
          <w:b/>
          <w:smallCaps/>
          <w:sz w:val="28"/>
          <w:szCs w:val="24"/>
          <w:lang w:val="en-US"/>
        </w:rPr>
      </w:pPr>
    </w:p>
    <w:p w:rsidR="00B95C88" w:rsidRPr="00C91518" w:rsidRDefault="00B95C88" w:rsidP="00C91518">
      <w:pPr>
        <w:rPr>
          <w:rFonts w:cs="Times New Roman"/>
          <w:b/>
          <w:smallCaps/>
          <w:sz w:val="28"/>
          <w:szCs w:val="24"/>
          <w:lang w:val="en-US"/>
        </w:rPr>
      </w:pPr>
      <w:r w:rsidRPr="00C91518">
        <w:rPr>
          <w:rFonts w:cs="Times New Roman"/>
          <w:b/>
          <w:smallCaps/>
          <w:sz w:val="28"/>
          <w:szCs w:val="24"/>
          <w:lang w:val="en-US"/>
        </w:rPr>
        <w:t xml:space="preserve">Publications </w:t>
      </w:r>
    </w:p>
    <w:p w:rsidR="00B95C88" w:rsidRPr="00C802E3" w:rsidRDefault="00B95C88" w:rsidP="00C91518">
      <w:pPr>
        <w:pStyle w:val="Paragraphedeliste"/>
        <w:autoSpaceDE w:val="0"/>
        <w:autoSpaceDN w:val="0"/>
        <w:adjustRightInd w:val="0"/>
        <w:jc w:val="both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849"/>
      </w:tblGrid>
      <w:tr w:rsidR="00B95C88" w:rsidRPr="00482021" w:rsidTr="00482021">
        <w:tc>
          <w:tcPr>
            <w:tcW w:w="473" w:type="dxa"/>
          </w:tcPr>
          <w:p w:rsidR="00B95C88" w:rsidRPr="002F0300" w:rsidRDefault="00B95C88" w:rsidP="0056153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fr-BE"/>
              </w:rPr>
            </w:pPr>
            <w:r w:rsidRPr="002F0300">
              <w:rPr>
                <w:rFonts w:eastAsia="Calibri" w:cs="Times New Roman"/>
                <w:bCs/>
                <w:sz w:val="22"/>
                <w:szCs w:val="20"/>
                <w:lang w:val="fr-BE"/>
              </w:rPr>
              <w:t>[</w:t>
            </w:r>
            <w:r w:rsidR="0056153E">
              <w:rPr>
                <w:rFonts w:eastAsia="Calibri" w:cs="Times New Roman"/>
                <w:bCs/>
                <w:sz w:val="22"/>
                <w:szCs w:val="20"/>
                <w:lang w:val="fr-BE"/>
              </w:rPr>
              <w:t>5</w:t>
            </w:r>
            <w:r w:rsidRPr="002F0300">
              <w:rPr>
                <w:rFonts w:eastAsia="Calibri" w:cs="Times New Roman"/>
                <w:bCs/>
                <w:sz w:val="22"/>
                <w:szCs w:val="20"/>
                <w:lang w:val="fr-BE"/>
              </w:rPr>
              <w:t>]</w:t>
            </w:r>
          </w:p>
        </w:tc>
        <w:tc>
          <w:tcPr>
            <w:tcW w:w="8849" w:type="dxa"/>
          </w:tcPr>
          <w:p w:rsidR="00B95C88" w:rsidRPr="002F0300" w:rsidRDefault="00482021" w:rsidP="00687D7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 w:rsidRPr="00687D79">
              <w:rPr>
                <w:rFonts w:eastAsia="Calibri" w:cs="Times New Roman"/>
                <w:b/>
                <w:bCs/>
                <w:sz w:val="22"/>
                <w:szCs w:val="20"/>
                <w:lang w:val="it-IT"/>
              </w:rPr>
              <w:t>Vannuscorps, G.</w:t>
            </w:r>
            <w:r w:rsidRPr="00687D79">
              <w:rPr>
                <w:rFonts w:eastAsia="Calibri" w:cs="Times New Roman"/>
                <w:bCs/>
                <w:sz w:val="22"/>
                <w:szCs w:val="20"/>
                <w:lang w:val="it-IT"/>
              </w:rPr>
              <w:t xml:space="preserve"> &amp; Caramazza, A. (</w:t>
            </w:r>
            <w:r w:rsidR="00687D79" w:rsidRPr="00687D79">
              <w:rPr>
                <w:rFonts w:eastAsia="Calibri" w:cs="Times New Roman"/>
                <w:bCs/>
                <w:sz w:val="22"/>
                <w:szCs w:val="20"/>
                <w:lang w:val="it-IT"/>
              </w:rPr>
              <w:t>in press</w:t>
            </w:r>
            <w:r w:rsidRPr="00687D79">
              <w:rPr>
                <w:rFonts w:eastAsia="Calibri" w:cs="Times New Roman"/>
                <w:bCs/>
                <w:sz w:val="22"/>
                <w:szCs w:val="20"/>
                <w:lang w:val="it-IT"/>
              </w:rPr>
              <w:t xml:space="preserve">). </w:t>
            </w:r>
            <w:r w:rsidRPr="00482021">
              <w:rPr>
                <w:rFonts w:eastAsia="Calibri" w:cs="Times New Roman"/>
                <w:bCs/>
                <w:sz w:val="22"/>
                <w:szCs w:val="20"/>
                <w:lang w:val="en-US"/>
              </w:rPr>
              <w:t>Typical biomechanical bias in the perception of congenitally absent hands</w:t>
            </w:r>
            <w:r>
              <w:rPr>
                <w:rFonts w:eastAsia="Calibri" w:cs="Times New Roman"/>
                <w:bCs/>
                <w:sz w:val="22"/>
                <w:szCs w:val="20"/>
                <w:lang w:val="en-US"/>
              </w:rPr>
              <w:t xml:space="preserve">. </w:t>
            </w:r>
            <w:r w:rsidRPr="00482021">
              <w:rPr>
                <w:rFonts w:eastAsia="Calibri" w:cs="Times New Roman"/>
                <w:bCs/>
                <w:i/>
                <w:sz w:val="22"/>
                <w:szCs w:val="20"/>
                <w:lang w:val="en-US"/>
              </w:rPr>
              <w:t>Cortex</w:t>
            </w:r>
          </w:p>
        </w:tc>
      </w:tr>
      <w:tr w:rsidR="00482021" w:rsidRPr="00482021" w:rsidTr="00482021">
        <w:tc>
          <w:tcPr>
            <w:tcW w:w="473" w:type="dxa"/>
          </w:tcPr>
          <w:p w:rsidR="00482021" w:rsidRPr="00482021" w:rsidRDefault="00482021" w:rsidP="00B95C8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849" w:type="dxa"/>
          </w:tcPr>
          <w:p w:rsidR="00482021" w:rsidRPr="00482021" w:rsidRDefault="00482021" w:rsidP="00B95C8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/>
                <w:color w:val="000000"/>
                <w:sz w:val="22"/>
                <w:szCs w:val="20"/>
                <w:lang w:val="en-US"/>
              </w:rPr>
            </w:pPr>
          </w:p>
        </w:tc>
      </w:tr>
      <w:tr w:rsidR="00482021" w:rsidRPr="00687D79" w:rsidTr="00482021">
        <w:tc>
          <w:tcPr>
            <w:tcW w:w="473" w:type="dxa"/>
          </w:tcPr>
          <w:p w:rsidR="00482021" w:rsidRPr="002F0300" w:rsidRDefault="00482021" w:rsidP="0056153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[</w:t>
            </w:r>
            <w:r w:rsidR="0056153E">
              <w:rPr>
                <w:rFonts w:eastAsia="Calibri" w:cs="Times New Roman"/>
                <w:bCs/>
                <w:sz w:val="22"/>
                <w:szCs w:val="20"/>
                <w:lang w:val="en-US"/>
              </w:rPr>
              <w:t>4</w:t>
            </w: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]</w:t>
            </w:r>
          </w:p>
        </w:tc>
        <w:tc>
          <w:tcPr>
            <w:tcW w:w="8849" w:type="dxa"/>
          </w:tcPr>
          <w:p w:rsidR="00482021" w:rsidRPr="00482021" w:rsidRDefault="00482021" w:rsidP="00B95C8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/>
                <w:color w:val="000000"/>
                <w:sz w:val="22"/>
                <w:szCs w:val="20"/>
                <w:lang w:val="en-US"/>
              </w:rPr>
            </w:pPr>
            <w:r w:rsidRPr="00687D79">
              <w:rPr>
                <w:rFonts w:eastAsia="Calibri" w:cs="Times New Roman"/>
                <w:b/>
                <w:color w:val="000000"/>
                <w:sz w:val="22"/>
                <w:szCs w:val="20"/>
                <w:lang w:val="fr-BE"/>
              </w:rPr>
              <w:t>Vannuscorps, G</w:t>
            </w:r>
            <w:r w:rsidRPr="00687D79">
              <w:rPr>
                <w:rFonts w:eastAsia="Calibri" w:cs="Times New Roman"/>
                <w:color w:val="000000"/>
                <w:sz w:val="22"/>
                <w:szCs w:val="20"/>
                <w:lang w:val="fr-BE"/>
              </w:rPr>
              <w:t xml:space="preserve">., Andres, M., &amp; Pillon, A. (2014). </w:t>
            </w:r>
            <w:r w:rsidRPr="002F0300">
              <w:rPr>
                <w:sz w:val="22"/>
                <w:szCs w:val="20"/>
                <w:lang w:val="en-US"/>
              </w:rPr>
              <w:t xml:space="preserve">Is motor knowledge part and parcel of the concept of manipulable </w:t>
            </w:r>
            <w:proofErr w:type="gramStart"/>
            <w:r w:rsidRPr="002F0300">
              <w:rPr>
                <w:sz w:val="22"/>
                <w:szCs w:val="20"/>
                <w:lang w:val="en-US"/>
              </w:rPr>
              <w:t>artifacts ?</w:t>
            </w:r>
            <w:proofErr w:type="gramEnd"/>
            <w:r w:rsidRPr="002F0300">
              <w:rPr>
                <w:sz w:val="22"/>
                <w:szCs w:val="20"/>
                <w:lang w:val="en-US"/>
              </w:rPr>
              <w:t xml:space="preserve"> Clues from a case of upper limb aplasia. </w:t>
            </w:r>
            <w:r w:rsidRPr="002F0300">
              <w:rPr>
                <w:i/>
                <w:sz w:val="22"/>
                <w:szCs w:val="20"/>
                <w:lang w:val="en-US"/>
              </w:rPr>
              <w:t>Brain and Cognition, 84</w:t>
            </w:r>
            <w:r w:rsidRPr="002F0300">
              <w:rPr>
                <w:sz w:val="22"/>
                <w:szCs w:val="20"/>
                <w:lang w:val="en-US"/>
              </w:rPr>
              <w:t>, 132-140.</w:t>
            </w:r>
          </w:p>
        </w:tc>
      </w:tr>
      <w:tr w:rsidR="00482021" w:rsidRPr="00687D79" w:rsidTr="00482021">
        <w:tc>
          <w:tcPr>
            <w:tcW w:w="473" w:type="dxa"/>
          </w:tcPr>
          <w:p w:rsidR="00482021" w:rsidRPr="002F0300" w:rsidRDefault="00482021" w:rsidP="00276B52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849" w:type="dxa"/>
          </w:tcPr>
          <w:p w:rsidR="00482021" w:rsidRPr="002F0300" w:rsidRDefault="00482021" w:rsidP="00B95C8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/>
                <w:color w:val="000000"/>
                <w:sz w:val="22"/>
                <w:szCs w:val="20"/>
                <w:lang w:val="en-US"/>
              </w:rPr>
            </w:pPr>
          </w:p>
        </w:tc>
      </w:tr>
      <w:tr w:rsidR="00482021" w:rsidRPr="002F0300" w:rsidTr="00482021">
        <w:tc>
          <w:tcPr>
            <w:tcW w:w="473" w:type="dxa"/>
          </w:tcPr>
          <w:p w:rsidR="00482021" w:rsidRPr="002F0300" w:rsidRDefault="00482021" w:rsidP="00276B52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[3]</w:t>
            </w:r>
          </w:p>
        </w:tc>
        <w:tc>
          <w:tcPr>
            <w:tcW w:w="8849" w:type="dxa"/>
          </w:tcPr>
          <w:p w:rsidR="00482021" w:rsidRPr="002F0300" w:rsidRDefault="00482021" w:rsidP="00B95C88">
            <w:pPr>
              <w:pStyle w:val="Paragraphedeliste"/>
              <w:ind w:left="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2F0300">
              <w:rPr>
                <w:b/>
                <w:color w:val="000000"/>
                <w:sz w:val="22"/>
                <w:szCs w:val="20"/>
                <w:lang w:val="fr-BE"/>
              </w:rPr>
              <w:t>Vannuscorps, G</w:t>
            </w:r>
            <w:r w:rsidRPr="002F0300">
              <w:rPr>
                <w:color w:val="000000"/>
                <w:sz w:val="22"/>
                <w:szCs w:val="20"/>
                <w:lang w:val="fr-BE"/>
              </w:rPr>
              <w:t xml:space="preserve">., Andres, M., &amp; Pillon, A. (2013). </w:t>
            </w:r>
            <w:r w:rsidRPr="002F0300">
              <w:rPr>
                <w:sz w:val="22"/>
                <w:szCs w:val="20"/>
                <w:lang w:val="en-US"/>
              </w:rPr>
              <w:t xml:space="preserve">When does action comprehension need motor </w:t>
            </w:r>
            <w:proofErr w:type="gramStart"/>
            <w:r w:rsidRPr="002F0300">
              <w:rPr>
                <w:sz w:val="22"/>
                <w:szCs w:val="20"/>
                <w:lang w:val="en-US"/>
              </w:rPr>
              <w:t>involvement ?</w:t>
            </w:r>
            <w:proofErr w:type="gramEnd"/>
            <w:r w:rsidRPr="002F0300">
              <w:rPr>
                <w:sz w:val="22"/>
                <w:szCs w:val="20"/>
                <w:lang w:val="en-US"/>
              </w:rPr>
              <w:t xml:space="preserve"> Evidence from upper limb aplasia. </w:t>
            </w:r>
            <w:r w:rsidRPr="002F0300">
              <w:rPr>
                <w:i/>
                <w:sz w:val="22"/>
                <w:szCs w:val="20"/>
                <w:lang w:val="en-US"/>
              </w:rPr>
              <w:t>Cognitive Neuropsychology, 30</w:t>
            </w:r>
            <w:r w:rsidRPr="002F0300">
              <w:rPr>
                <w:sz w:val="22"/>
                <w:szCs w:val="20"/>
                <w:lang w:val="en-US"/>
              </w:rPr>
              <w:t xml:space="preserve">, 253-283. </w:t>
            </w:r>
          </w:p>
        </w:tc>
      </w:tr>
      <w:tr w:rsidR="00482021" w:rsidRPr="002F0300" w:rsidTr="00482021">
        <w:tc>
          <w:tcPr>
            <w:tcW w:w="473" w:type="dxa"/>
          </w:tcPr>
          <w:p w:rsidR="00482021" w:rsidRPr="002F0300" w:rsidRDefault="00482021" w:rsidP="00276B52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849" w:type="dxa"/>
          </w:tcPr>
          <w:p w:rsidR="00482021" w:rsidRPr="002F0300" w:rsidRDefault="00482021" w:rsidP="00B95C88">
            <w:pPr>
              <w:pStyle w:val="Paragraphedeliste"/>
              <w:ind w:left="0"/>
              <w:jc w:val="both"/>
              <w:rPr>
                <w:b/>
                <w:color w:val="000000"/>
                <w:sz w:val="22"/>
                <w:szCs w:val="20"/>
                <w:lang w:val="fr-BE"/>
              </w:rPr>
            </w:pPr>
          </w:p>
        </w:tc>
      </w:tr>
      <w:tr w:rsidR="00482021" w:rsidRPr="002F0300" w:rsidTr="00482021">
        <w:tc>
          <w:tcPr>
            <w:tcW w:w="473" w:type="dxa"/>
          </w:tcPr>
          <w:p w:rsidR="00482021" w:rsidRPr="002F0300" w:rsidRDefault="00482021" w:rsidP="0056153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[</w:t>
            </w:r>
            <w:r w:rsidR="0056153E">
              <w:rPr>
                <w:rFonts w:eastAsia="Calibri" w:cs="Times New Roman"/>
                <w:bCs/>
                <w:sz w:val="22"/>
                <w:szCs w:val="20"/>
                <w:lang w:val="en-US"/>
              </w:rPr>
              <w:t>2</w:t>
            </w: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]</w:t>
            </w:r>
          </w:p>
        </w:tc>
        <w:tc>
          <w:tcPr>
            <w:tcW w:w="8849" w:type="dxa"/>
          </w:tcPr>
          <w:p w:rsidR="00482021" w:rsidRPr="002F0300" w:rsidRDefault="00482021" w:rsidP="00B95C88">
            <w:pPr>
              <w:pStyle w:val="Paragraphedeliste"/>
              <w:ind w:left="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2F0300">
              <w:rPr>
                <w:rFonts w:eastAsia="Calibri" w:cs="Times New Roman"/>
                <w:b/>
                <w:sz w:val="22"/>
                <w:szCs w:val="20"/>
                <w:lang w:val="fr-BE"/>
              </w:rPr>
              <w:t>Vannuscorps, G</w:t>
            </w:r>
            <w:r w:rsidRPr="002F0300">
              <w:rPr>
                <w:rFonts w:eastAsia="Calibri" w:cs="Times New Roman"/>
                <w:sz w:val="22"/>
                <w:szCs w:val="20"/>
                <w:lang w:val="fr-BE"/>
              </w:rPr>
              <w:t xml:space="preserve">., Pillon, A., &amp; Andres, M. (2012). </w:t>
            </w:r>
            <w:r w:rsidRPr="002F0300">
              <w:rPr>
                <w:rFonts w:eastAsia="Calibri" w:cs="Times New Roman"/>
                <w:color w:val="000000"/>
                <w:sz w:val="22"/>
                <w:szCs w:val="20"/>
                <w:lang w:val="en-US"/>
              </w:rPr>
              <w:t xml:space="preserve">Effect of biomechanical constraints in the hand laterality judgment task: Where does it come from? </w:t>
            </w:r>
            <w:r w:rsidRPr="002F0300">
              <w:rPr>
                <w:rFonts w:eastAsia="Calibri" w:cs="Times New Roman"/>
                <w:i/>
                <w:color w:val="000000"/>
                <w:sz w:val="22"/>
                <w:szCs w:val="20"/>
                <w:lang w:val="en-US"/>
              </w:rPr>
              <w:t>Frontiers in Human Neuroscience, 6</w:t>
            </w:r>
            <w:r w:rsidRPr="002F0300">
              <w:rPr>
                <w:rFonts w:eastAsia="Calibri" w:cs="Times New Roman"/>
                <w:color w:val="000000"/>
                <w:sz w:val="22"/>
                <w:szCs w:val="20"/>
                <w:lang w:val="en-US"/>
              </w:rPr>
              <w:t>, 299.</w:t>
            </w:r>
          </w:p>
        </w:tc>
      </w:tr>
      <w:tr w:rsidR="00482021" w:rsidRPr="002F0300" w:rsidTr="00482021">
        <w:tc>
          <w:tcPr>
            <w:tcW w:w="473" w:type="dxa"/>
          </w:tcPr>
          <w:p w:rsidR="00482021" w:rsidRPr="002F0300" w:rsidRDefault="00482021" w:rsidP="00B95C8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849" w:type="dxa"/>
          </w:tcPr>
          <w:p w:rsidR="00482021" w:rsidRPr="002F0300" w:rsidRDefault="00482021" w:rsidP="00B95C88">
            <w:pPr>
              <w:pStyle w:val="Paragraphedeliste"/>
              <w:ind w:left="0"/>
              <w:jc w:val="both"/>
              <w:rPr>
                <w:rFonts w:eastAsia="Calibri" w:cs="Times New Roman"/>
                <w:b/>
                <w:sz w:val="22"/>
                <w:szCs w:val="20"/>
                <w:lang w:val="fr-BE"/>
              </w:rPr>
            </w:pPr>
          </w:p>
        </w:tc>
      </w:tr>
      <w:tr w:rsidR="00482021" w:rsidRPr="00687D79" w:rsidTr="00482021">
        <w:tc>
          <w:tcPr>
            <w:tcW w:w="473" w:type="dxa"/>
          </w:tcPr>
          <w:p w:rsidR="00482021" w:rsidRPr="002F0300" w:rsidRDefault="00482021" w:rsidP="0056153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>
              <w:rPr>
                <w:rFonts w:eastAsia="Calibri" w:cs="Times New Roman"/>
                <w:bCs/>
                <w:sz w:val="22"/>
                <w:szCs w:val="20"/>
                <w:lang w:val="en-US"/>
              </w:rPr>
              <w:t>[</w:t>
            </w:r>
            <w:r w:rsidR="0056153E">
              <w:rPr>
                <w:rFonts w:eastAsia="Calibri" w:cs="Times New Roman"/>
                <w:bCs/>
                <w:sz w:val="22"/>
                <w:szCs w:val="20"/>
                <w:lang w:val="en-US"/>
              </w:rPr>
              <w:t>1</w:t>
            </w:r>
            <w:r>
              <w:rPr>
                <w:rFonts w:eastAsia="Calibri" w:cs="Times New Roman"/>
                <w:bCs/>
                <w:sz w:val="22"/>
                <w:szCs w:val="20"/>
                <w:lang w:val="en-US"/>
              </w:rPr>
              <w:t>]</w:t>
            </w:r>
          </w:p>
        </w:tc>
        <w:tc>
          <w:tcPr>
            <w:tcW w:w="8849" w:type="dxa"/>
          </w:tcPr>
          <w:p w:rsidR="00482021" w:rsidRPr="002F0300" w:rsidRDefault="00482021" w:rsidP="00B95C88">
            <w:pPr>
              <w:pStyle w:val="Paragraphedeliste"/>
              <w:ind w:left="0"/>
              <w:jc w:val="both"/>
              <w:rPr>
                <w:sz w:val="22"/>
                <w:szCs w:val="20"/>
                <w:lang w:val="en-US"/>
              </w:rPr>
            </w:pPr>
            <w:r w:rsidRPr="002F0300">
              <w:rPr>
                <w:rFonts w:eastAsia="Calibri" w:cs="Times New Roman"/>
                <w:b/>
                <w:bCs/>
                <w:sz w:val="22"/>
                <w:szCs w:val="20"/>
                <w:lang w:val="en-US"/>
              </w:rPr>
              <w:t>Vannuscorps, G</w:t>
            </w: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. &amp; Pillon, A. (2011). A domain-specific system for representing knowledge of both man-made objects and human actions. Evidence from a case with an association of deficits</w:t>
            </w:r>
            <w:r w:rsidRPr="002F0300">
              <w:rPr>
                <w:rFonts w:eastAsia="Calibri" w:cs="Times New Roman"/>
                <w:bCs/>
                <w:i/>
                <w:sz w:val="22"/>
                <w:szCs w:val="20"/>
                <w:lang w:val="en-US"/>
              </w:rPr>
              <w:t>. Neuropsychologia, 49</w:t>
            </w:r>
            <w:r w:rsidRPr="002F0300">
              <w:rPr>
                <w:rFonts w:eastAsia="Calibri" w:cs="Times New Roman"/>
                <w:bCs/>
                <w:sz w:val="22"/>
                <w:szCs w:val="20"/>
                <w:lang w:val="en-US"/>
              </w:rPr>
              <w:t>, 2321-2341.</w:t>
            </w:r>
          </w:p>
        </w:tc>
      </w:tr>
    </w:tbl>
    <w:p w:rsidR="00B95C88" w:rsidRPr="00B95C88" w:rsidRDefault="00B95C88" w:rsidP="00B95C88">
      <w:pPr>
        <w:pStyle w:val="Paragraphedeliste"/>
        <w:autoSpaceDE w:val="0"/>
        <w:autoSpaceDN w:val="0"/>
        <w:adjustRightInd w:val="0"/>
        <w:ind w:left="426" w:hanging="426"/>
        <w:jc w:val="both"/>
        <w:rPr>
          <w:rFonts w:eastAsia="Calibri" w:cs="Times New Roman"/>
          <w:bCs/>
          <w:sz w:val="20"/>
          <w:szCs w:val="20"/>
          <w:lang w:val="en-US"/>
        </w:rPr>
      </w:pPr>
    </w:p>
    <w:p w:rsidR="00B95C88" w:rsidRPr="00C91518" w:rsidRDefault="00B95C88" w:rsidP="00C91518">
      <w:pPr>
        <w:autoSpaceDE w:val="0"/>
        <w:autoSpaceDN w:val="0"/>
        <w:adjustRightInd w:val="0"/>
        <w:rPr>
          <w:rFonts w:cs="Times New Roman"/>
          <w:b/>
          <w:smallCaps/>
          <w:szCs w:val="24"/>
          <w:lang w:val="en-US"/>
        </w:rPr>
      </w:pPr>
      <w:r w:rsidRPr="00C91518">
        <w:rPr>
          <w:rFonts w:cs="Times New Roman"/>
          <w:b/>
          <w:smallCaps/>
          <w:sz w:val="28"/>
          <w:szCs w:val="24"/>
          <w:lang w:val="en-US"/>
        </w:rPr>
        <w:t>Manuscripts</w:t>
      </w:r>
      <w:r w:rsidRPr="00C91518">
        <w:rPr>
          <w:rFonts w:cs="Times New Roman"/>
          <w:b/>
          <w:smallCaps/>
          <w:szCs w:val="24"/>
          <w:lang w:val="en-US"/>
        </w:rPr>
        <w:t xml:space="preserve"> (submitted/in revision)</w:t>
      </w:r>
    </w:p>
    <w:p w:rsidR="00B95C88" w:rsidRPr="00C802E3" w:rsidRDefault="00B95C88" w:rsidP="00C91518">
      <w:pPr>
        <w:pStyle w:val="Paragraphedeliste"/>
        <w:autoSpaceDE w:val="0"/>
        <w:autoSpaceDN w:val="0"/>
        <w:adjustRightInd w:val="0"/>
        <w:jc w:val="both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849"/>
      </w:tblGrid>
      <w:tr w:rsidR="00B95C88" w:rsidRPr="00157802" w:rsidTr="00482021">
        <w:tc>
          <w:tcPr>
            <w:tcW w:w="473" w:type="dxa"/>
          </w:tcPr>
          <w:p w:rsidR="00B95C88" w:rsidRPr="002F0300" w:rsidRDefault="00B95C88" w:rsidP="00482021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fr-BE"/>
              </w:rPr>
            </w:pPr>
          </w:p>
        </w:tc>
        <w:tc>
          <w:tcPr>
            <w:tcW w:w="8849" w:type="dxa"/>
          </w:tcPr>
          <w:p w:rsidR="00B95C88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 w:rsidRPr="002F0300">
              <w:rPr>
                <w:b/>
                <w:sz w:val="22"/>
                <w:szCs w:val="20"/>
                <w:lang w:val="en-US"/>
              </w:rPr>
              <w:t>Vannuscorps, G</w:t>
            </w:r>
            <w:r w:rsidRPr="002F0300">
              <w:rPr>
                <w:sz w:val="22"/>
                <w:szCs w:val="20"/>
                <w:lang w:val="en-US"/>
              </w:rPr>
              <w:t>., Dricot, L., &amp; Pillon, A. Is the motor system involved in comprehending actions and manipulable artifacts? A longitudinal study of a patient with corticobasal degeneration.</w:t>
            </w:r>
          </w:p>
        </w:tc>
      </w:tr>
      <w:tr w:rsidR="00B95C88" w:rsidRPr="00157802" w:rsidTr="00482021">
        <w:tc>
          <w:tcPr>
            <w:tcW w:w="473" w:type="dxa"/>
          </w:tcPr>
          <w:p w:rsidR="00B95C88" w:rsidRPr="002F0300" w:rsidRDefault="00B95C88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849" w:type="dxa"/>
          </w:tcPr>
          <w:p w:rsidR="00B95C88" w:rsidRPr="002F0300" w:rsidRDefault="00B95C88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/>
                <w:color w:val="000000"/>
                <w:sz w:val="22"/>
                <w:szCs w:val="20"/>
                <w:lang w:val="en-US"/>
              </w:rPr>
            </w:pPr>
          </w:p>
        </w:tc>
      </w:tr>
      <w:tr w:rsidR="00B95C88" w:rsidRPr="00687D79" w:rsidTr="00482021">
        <w:tc>
          <w:tcPr>
            <w:tcW w:w="473" w:type="dxa"/>
          </w:tcPr>
          <w:p w:rsidR="00B95C88" w:rsidRPr="002F0300" w:rsidRDefault="00B95C88" w:rsidP="00482021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849" w:type="dxa"/>
          </w:tcPr>
          <w:p w:rsidR="00B95C88" w:rsidRPr="002F0300" w:rsidRDefault="004477CF" w:rsidP="00B972DD">
            <w:pPr>
              <w:pStyle w:val="Paragraphedeliste"/>
              <w:ind w:left="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2F0300">
              <w:rPr>
                <w:b/>
                <w:sz w:val="22"/>
                <w:szCs w:val="20"/>
                <w:lang w:val="en-US"/>
              </w:rPr>
              <w:t>Vannusco</w:t>
            </w:r>
            <w:bookmarkStart w:id="0" w:name="_GoBack"/>
            <w:bookmarkEnd w:id="0"/>
            <w:r w:rsidRPr="002F0300">
              <w:rPr>
                <w:b/>
                <w:sz w:val="22"/>
                <w:szCs w:val="20"/>
                <w:lang w:val="en-US"/>
              </w:rPr>
              <w:t>rps, G.,</w:t>
            </w:r>
            <w:r w:rsidRPr="002F0300">
              <w:rPr>
                <w:sz w:val="22"/>
                <w:szCs w:val="20"/>
                <w:lang w:val="en-US"/>
              </w:rPr>
              <w:t xml:space="preserve"> &amp; Caramazza, A. Motor simulation does not underlie action perception: evidence from upper limb dysmelia.</w:t>
            </w:r>
          </w:p>
        </w:tc>
      </w:tr>
    </w:tbl>
    <w:p w:rsidR="00B95C88" w:rsidRDefault="00B95C88" w:rsidP="00B95C88">
      <w:pPr>
        <w:jc w:val="both"/>
        <w:rPr>
          <w:rFonts w:eastAsia="Calibri" w:cs="Times New Roman"/>
          <w:bCs/>
          <w:sz w:val="20"/>
          <w:szCs w:val="20"/>
          <w:lang w:val="en-US"/>
        </w:rPr>
      </w:pPr>
    </w:p>
    <w:p w:rsidR="00B95C88" w:rsidRPr="00C91518" w:rsidRDefault="00B95C88" w:rsidP="00C91518">
      <w:pPr>
        <w:autoSpaceDE w:val="0"/>
        <w:autoSpaceDN w:val="0"/>
        <w:adjustRightInd w:val="0"/>
        <w:rPr>
          <w:rFonts w:cs="Times New Roman"/>
          <w:b/>
          <w:smallCaps/>
          <w:szCs w:val="24"/>
          <w:lang w:val="en-US"/>
        </w:rPr>
      </w:pPr>
      <w:r w:rsidRPr="00C91518">
        <w:rPr>
          <w:rFonts w:cs="Times New Roman"/>
          <w:b/>
          <w:smallCaps/>
          <w:sz w:val="28"/>
          <w:szCs w:val="24"/>
          <w:lang w:val="en-US"/>
        </w:rPr>
        <w:t>Manuscripts</w:t>
      </w:r>
      <w:r w:rsidRPr="00C91518">
        <w:rPr>
          <w:rFonts w:cs="Times New Roman"/>
          <w:b/>
          <w:smallCaps/>
          <w:szCs w:val="24"/>
          <w:lang w:val="en-US"/>
        </w:rPr>
        <w:t xml:space="preserve"> (in preparation)</w:t>
      </w:r>
    </w:p>
    <w:p w:rsidR="004477CF" w:rsidRDefault="004477CF" w:rsidP="00C91518">
      <w:pPr>
        <w:pStyle w:val="Paragraphedeliste"/>
        <w:ind w:left="0"/>
        <w:jc w:val="both"/>
        <w:rPr>
          <w:rFonts w:eastAsia="Calibri" w:cs="Times New Roman"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772"/>
      </w:tblGrid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fr-BE"/>
              </w:rPr>
            </w:pPr>
          </w:p>
        </w:tc>
        <w:tc>
          <w:tcPr>
            <w:tcW w:w="8772" w:type="dxa"/>
          </w:tcPr>
          <w:p w:rsidR="004477CF" w:rsidRPr="002F0300" w:rsidRDefault="00482021" w:rsidP="00482021">
            <w:pPr>
              <w:pStyle w:val="Paragraphedeliste"/>
              <w:autoSpaceDE w:val="0"/>
              <w:autoSpaceDN w:val="0"/>
              <w:adjustRightInd w:val="0"/>
              <w:ind w:left="-9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  <w:r w:rsidRPr="00482021">
              <w:rPr>
                <w:rFonts w:eastAsia="Calibri" w:cs="Times New Roman"/>
                <w:b/>
                <w:bCs/>
                <w:sz w:val="22"/>
                <w:szCs w:val="20"/>
                <w:lang w:val="en-US"/>
              </w:rPr>
              <w:t>Vannuscorps,</w:t>
            </w:r>
            <w:r>
              <w:rPr>
                <w:rFonts w:eastAsia="Calibri" w:cs="Times New Roman"/>
                <w:b/>
                <w:bCs/>
                <w:sz w:val="22"/>
                <w:szCs w:val="20"/>
                <w:lang w:val="en-US"/>
              </w:rPr>
              <w:t xml:space="preserve"> G.</w:t>
            </w:r>
            <w:r>
              <w:rPr>
                <w:rFonts w:eastAsia="Calibri" w:cs="Times New Roman"/>
                <w:bCs/>
                <w:sz w:val="22"/>
                <w:szCs w:val="20"/>
                <w:lang w:val="en-US"/>
              </w:rPr>
              <w:t xml:space="preserve"> &amp; Caramazza, A. </w:t>
            </w:r>
            <w:r w:rsidRPr="00482021">
              <w:rPr>
                <w:rFonts w:eastAsia="Calibri" w:cs="Times New Roman"/>
                <w:bCs/>
                <w:sz w:val="22"/>
                <w:szCs w:val="20"/>
                <w:lang w:val="en-US"/>
              </w:rPr>
              <w:t>Motor simulation in the perception of human motion: a critical review</w:t>
            </w:r>
            <w:r>
              <w:rPr>
                <w:rFonts w:eastAsia="Calibri" w:cs="Times New Roman"/>
                <w:bCs/>
                <w:sz w:val="22"/>
                <w:szCs w:val="20"/>
                <w:lang w:val="en-US"/>
              </w:rPr>
              <w:t xml:space="preserve">. </w:t>
            </w: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/>
                <w:color w:val="000000"/>
                <w:sz w:val="22"/>
                <w:szCs w:val="20"/>
                <w:lang w:val="en-US"/>
              </w:rPr>
            </w:pP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2F0300">
              <w:rPr>
                <w:b/>
                <w:sz w:val="22"/>
                <w:szCs w:val="20"/>
                <w:lang w:val="en-US"/>
              </w:rPr>
              <w:t>Vannuscorps, G</w:t>
            </w:r>
            <w:r w:rsidRPr="002F0300">
              <w:rPr>
                <w:sz w:val="22"/>
                <w:szCs w:val="20"/>
                <w:lang w:val="en-US"/>
              </w:rPr>
              <w:t>., Mormont, E., &amp; Pillon, A. Masked repetition priming in Parkinson’s disease: the role of grammatical category and orthographical neighborhood</w:t>
            </w: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b/>
                <w:color w:val="000000"/>
                <w:sz w:val="22"/>
                <w:szCs w:val="20"/>
                <w:lang w:val="en-US"/>
              </w:rPr>
            </w:pP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color w:val="000000"/>
                <w:sz w:val="22"/>
                <w:szCs w:val="20"/>
                <w:lang w:val="en-US"/>
              </w:rPr>
            </w:pPr>
            <w:r w:rsidRPr="002F0300">
              <w:rPr>
                <w:b/>
                <w:sz w:val="22"/>
                <w:szCs w:val="20"/>
                <w:lang w:val="en-US"/>
              </w:rPr>
              <w:t>Vannuscorps, G</w:t>
            </w:r>
            <w:r w:rsidRPr="002F0300">
              <w:rPr>
                <w:sz w:val="22"/>
                <w:szCs w:val="20"/>
                <w:lang w:val="en-US"/>
              </w:rPr>
              <w:t xml:space="preserve">., Mormont, E., &amp; Pillon, A. Action naming in Parkinson’s </w:t>
            </w:r>
            <w:proofErr w:type="gramStart"/>
            <w:r w:rsidRPr="002F0300">
              <w:rPr>
                <w:sz w:val="22"/>
                <w:szCs w:val="20"/>
                <w:lang w:val="en-US"/>
              </w:rPr>
              <w:t>disease :</w:t>
            </w:r>
            <w:proofErr w:type="gramEnd"/>
            <w:r w:rsidRPr="002F0300">
              <w:rPr>
                <w:sz w:val="22"/>
                <w:szCs w:val="20"/>
                <w:lang w:val="en-US"/>
              </w:rPr>
              <w:t xml:space="preserve"> the role of the static depiction of actions.  </w:t>
            </w: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rFonts w:eastAsia="Calibri" w:cs="Times New Roman"/>
                <w:b/>
                <w:sz w:val="22"/>
                <w:szCs w:val="20"/>
                <w:lang w:val="en-US"/>
              </w:rPr>
            </w:pP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sz w:val="22"/>
                <w:szCs w:val="20"/>
                <w:lang w:val="en-US"/>
              </w:rPr>
            </w:pPr>
            <w:r w:rsidRPr="002F0300">
              <w:rPr>
                <w:b/>
                <w:sz w:val="22"/>
                <w:lang w:val="en-US"/>
              </w:rPr>
              <w:t>Vannuscorps, G</w:t>
            </w:r>
            <w:r w:rsidRPr="002F0300">
              <w:rPr>
                <w:sz w:val="22"/>
                <w:lang w:val="en-US"/>
              </w:rPr>
              <w:t xml:space="preserve">., Lingnau, A., &amp; Caramazza, A. Typical predictive eye movements during hand action observation in upper limb dysplasia: implication for mirror neuron theories of action observation.  </w:t>
            </w: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b/>
                <w:sz w:val="22"/>
                <w:lang w:val="en-US"/>
              </w:rPr>
            </w:pP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fr-BE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ind w:left="-90"/>
              <w:jc w:val="both"/>
              <w:rPr>
                <w:b/>
                <w:sz w:val="22"/>
                <w:lang w:val="en-US"/>
              </w:rPr>
            </w:pPr>
            <w:r w:rsidRPr="002F0300">
              <w:rPr>
                <w:sz w:val="22"/>
                <w:szCs w:val="20"/>
                <w:lang w:val="en-US"/>
              </w:rPr>
              <w:t xml:space="preserve">Andres, M., </w:t>
            </w:r>
            <w:proofErr w:type="spellStart"/>
            <w:r w:rsidRPr="002F0300">
              <w:rPr>
                <w:sz w:val="22"/>
                <w:szCs w:val="20"/>
                <w:lang w:val="en-US"/>
              </w:rPr>
              <w:t>Pesenti</w:t>
            </w:r>
            <w:proofErr w:type="spellEnd"/>
            <w:r w:rsidRPr="002F0300">
              <w:rPr>
                <w:sz w:val="22"/>
                <w:szCs w:val="20"/>
                <w:lang w:val="en-US"/>
              </w:rPr>
              <w:t xml:space="preserve">, M., &amp; </w:t>
            </w:r>
            <w:r w:rsidRPr="002F0300">
              <w:rPr>
                <w:b/>
                <w:sz w:val="22"/>
                <w:szCs w:val="20"/>
                <w:lang w:val="en-US"/>
              </w:rPr>
              <w:t>Vannuscorps, G</w:t>
            </w:r>
            <w:r w:rsidRPr="002F0300">
              <w:rPr>
                <w:sz w:val="22"/>
                <w:szCs w:val="20"/>
                <w:lang w:val="en-US"/>
              </w:rPr>
              <w:t xml:space="preserve">. Mental arithmetic with and without finger representations: are arithmetic skills embodied? </w:t>
            </w: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b/>
                <w:sz w:val="22"/>
                <w:lang w:val="en-US"/>
              </w:rPr>
            </w:pP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56153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Corpsdetexte"/>
              <w:spacing w:line="240" w:lineRule="auto"/>
              <w:ind w:left="-90" w:firstLine="0"/>
              <w:jc w:val="left"/>
              <w:rPr>
                <w:b w:val="0"/>
                <w:sz w:val="22"/>
              </w:rPr>
            </w:pPr>
            <w:r w:rsidRPr="002F0300">
              <w:rPr>
                <w:rFonts w:ascii="Times New Roman" w:hAnsi="Times New Roman"/>
                <w:b w:val="0"/>
                <w:sz w:val="22"/>
              </w:rPr>
              <w:t xml:space="preserve">Di Lucas, S. &amp; </w:t>
            </w:r>
            <w:r w:rsidRPr="002F0300">
              <w:rPr>
                <w:rFonts w:ascii="Times New Roman" w:hAnsi="Times New Roman"/>
                <w:sz w:val="22"/>
              </w:rPr>
              <w:t>Vannuscorps, G</w:t>
            </w:r>
            <w:r w:rsidRPr="002F0300">
              <w:rPr>
                <w:rFonts w:ascii="Times New Roman" w:hAnsi="Times New Roman"/>
                <w:b w:val="0"/>
                <w:sz w:val="22"/>
              </w:rPr>
              <w:t>. Number semantic rooted in sensory-motor schemas: a single case study.</w:t>
            </w: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B972DD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pStyle w:val="Paragraphedeliste"/>
              <w:ind w:left="-90"/>
              <w:jc w:val="both"/>
              <w:rPr>
                <w:b/>
                <w:sz w:val="22"/>
                <w:lang w:val="en-US"/>
              </w:rPr>
            </w:pPr>
          </w:p>
        </w:tc>
      </w:tr>
      <w:tr w:rsidR="004477CF" w:rsidRPr="00687D79" w:rsidTr="004477CF">
        <w:tc>
          <w:tcPr>
            <w:tcW w:w="550" w:type="dxa"/>
          </w:tcPr>
          <w:p w:rsidR="004477CF" w:rsidRPr="002F0300" w:rsidRDefault="004477CF" w:rsidP="004477CF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eastAsia="Calibri" w:cs="Times New Roman"/>
                <w:bCs/>
                <w:sz w:val="22"/>
                <w:szCs w:val="20"/>
                <w:lang w:val="en-US"/>
              </w:rPr>
            </w:pPr>
          </w:p>
        </w:tc>
        <w:tc>
          <w:tcPr>
            <w:tcW w:w="8772" w:type="dxa"/>
          </w:tcPr>
          <w:p w:rsidR="004477CF" w:rsidRPr="002F0300" w:rsidRDefault="004477CF" w:rsidP="004477CF">
            <w:pPr>
              <w:ind w:left="-90"/>
              <w:jc w:val="both"/>
              <w:rPr>
                <w:b/>
                <w:sz w:val="22"/>
                <w:lang w:val="en-US"/>
              </w:rPr>
            </w:pPr>
            <w:r w:rsidRPr="002F0300">
              <w:rPr>
                <w:sz w:val="22"/>
                <w:szCs w:val="20"/>
                <w:lang w:val="en-US"/>
              </w:rPr>
              <w:t xml:space="preserve">Andres, M., </w:t>
            </w:r>
            <w:r w:rsidRPr="002F0300">
              <w:rPr>
                <w:b/>
                <w:sz w:val="22"/>
                <w:szCs w:val="20"/>
                <w:lang w:val="en-US"/>
              </w:rPr>
              <w:t>Vannuscorps, G</w:t>
            </w:r>
            <w:r w:rsidRPr="002F0300">
              <w:rPr>
                <w:sz w:val="22"/>
                <w:szCs w:val="20"/>
                <w:lang w:val="en-US"/>
              </w:rPr>
              <w:t xml:space="preserve">., Pelgrims, B., &amp; Olivier, E. Selective contribution of the left </w:t>
            </w:r>
            <w:r w:rsidRPr="002F0300">
              <w:rPr>
                <w:sz w:val="22"/>
                <w:szCs w:val="20"/>
                <w:lang w:val="en-US"/>
              </w:rPr>
              <w:lastRenderedPageBreak/>
              <w:t>inferior parietal lobe to hand-object interaction.</w:t>
            </w:r>
          </w:p>
        </w:tc>
      </w:tr>
    </w:tbl>
    <w:p w:rsidR="007623EF" w:rsidRDefault="007623EF" w:rsidP="00DE42D5">
      <w:pPr>
        <w:ind w:left="2124" w:hanging="2124"/>
        <w:jc w:val="both"/>
        <w:rPr>
          <w:rFonts w:cs="Times New Roman"/>
          <w:bCs/>
          <w:sz w:val="20"/>
          <w:szCs w:val="20"/>
          <w:lang w:val="en-US"/>
        </w:rPr>
      </w:pPr>
    </w:p>
    <w:p w:rsidR="00EE7579" w:rsidRPr="00C91518" w:rsidRDefault="00EE7579" w:rsidP="00C91518">
      <w:pPr>
        <w:autoSpaceDE w:val="0"/>
        <w:autoSpaceDN w:val="0"/>
        <w:adjustRightInd w:val="0"/>
        <w:ind w:hanging="142"/>
        <w:rPr>
          <w:rFonts w:cs="Times New Roman"/>
          <w:b/>
          <w:bCs/>
          <w:smallCaps/>
          <w:sz w:val="28"/>
          <w:szCs w:val="24"/>
          <w:lang w:val="en-US"/>
        </w:rPr>
      </w:pPr>
      <w:r w:rsidRPr="00C91518">
        <w:rPr>
          <w:rFonts w:cs="Times New Roman"/>
          <w:b/>
          <w:bCs/>
          <w:smallCaps/>
          <w:sz w:val="28"/>
          <w:szCs w:val="24"/>
          <w:lang w:val="en-US"/>
        </w:rPr>
        <w:t>Conference presentations</w:t>
      </w:r>
    </w:p>
    <w:p w:rsidR="004477CF" w:rsidRDefault="004477CF" w:rsidP="0096459C">
      <w:pPr>
        <w:pStyle w:val="Paragraphedeliste"/>
        <w:autoSpaceDE w:val="0"/>
        <w:autoSpaceDN w:val="0"/>
        <w:adjustRightInd w:val="0"/>
        <w:ind w:left="0"/>
        <w:jc w:val="both"/>
        <w:rPr>
          <w:rFonts w:eastAsia="Calibri" w:cs="Times New Roman"/>
          <w:sz w:val="20"/>
          <w:szCs w:val="20"/>
          <w:lang w:val="en-US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029"/>
      </w:tblGrid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fr-BE" w:eastAsia="fr-BE"/>
              </w:rPr>
              <w:t>2015</w:t>
            </w: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[31]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Caramazza, A. (2015). Motor simulation does not underlie action perception: evidence from upper limb dysmelia. Talk presented at the Vision Science Society conference, St Pete Beach, U.S.A.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[30]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Caramazza, A. (2015). Motor simulation does not underlie action perception: evidence from upper limb dysmelia. Talk presented at the Workshop on Concepts, Actions, and Objects, Rovereto, Italy.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BE"/>
              </w:rPr>
              <w:t xml:space="preserve"> 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[29]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Caramazza, A. (2015). Motor simulation does not underlie action perception: evidence from upper limb dysmelia. Poster presented at the European Workshop on Cognitive Neuropsychology, Bressanone, Italy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en-US" w:eastAsia="fr-BE"/>
              </w:rPr>
              <w:t>2014</w:t>
            </w:r>
          </w:p>
        </w:tc>
        <w:tc>
          <w:tcPr>
            <w:tcW w:w="80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  <w:tc>
          <w:tcPr>
            <w:tcW w:w="8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[28]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Caramazza, A. (2014). Perceptual anticipation of others’ movements: A motor or a visual origin? Poster presented at the Tagung experimentell arbeitender Psychologen (TeaP), Giessen, Germany.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[27]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Caramazza, A. (2014). Perceptual anticipation of others’ movements: A motor or a visual origin? Poster presented at the workshop “Concepts, Actions, and Objects: Functional and Neural Perspectives”, Rovereto, Italy. 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[26]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Andres, M., 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Pelgrims, B., &amp; Olivier, E. (2014). Selective contribution of the left inferior parietal lobe to hand-object interaction. Poster presented at the workshop “Concepts, Actions, and Objects: Functional and Neural Perspectives”, Rovereto, Italy. 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en-US" w:eastAsia="fr-BE"/>
              </w:rPr>
              <w:t>2013</w:t>
            </w: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[25]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Dricot, L., &amp; Pillon, A. (2013). Is the motor system involved in identifying actions and manipulable artifacts? A longitudinal study of a patient with corticobasal degeneration. Poster presented at the workshop “Concepts, Actions, and Objects: Functional and Neural Perspectives”, Rovereto, Italy.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[24]</w:t>
            </w:r>
          </w:p>
        </w:tc>
        <w:tc>
          <w:tcPr>
            <w:tcW w:w="80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 &amp; Pillon, A.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On the role of the motor system in comprehension. Talk presented at the Neuropsychology Workshop: From theoretical work, to practical applications, and back again: a neuropsychologist’s tale. University of Leuven,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[23]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., Dricot, L., &amp; Pillon, A. Is the motor system involved in identifying actions and manipulable artifacts? A longitudinal study of a patient with corticobasal degeneration. Talk presented at the Belgian Association for Psychological Sciences, Louvain-la-Neuve, Belgium. 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en-US" w:eastAsia="fr-BE"/>
              </w:rPr>
              <w:t>2012</w:t>
            </w: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lastRenderedPageBreak/>
              <w:t>[22]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Di Luca, S. &amp; 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. Number semantic rooted in sensory-motor schemas: a single case study.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University of Luxembourg,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Walferdange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, Luxembourg.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[21]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Di Luca, S. &amp; 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. Number semantic rooted in sensory-motor schemas: a single case study.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First meeting on ‘Advances in numerical cognition research’, Université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libre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de Bruxelles, Brussels, Belgium.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[20]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Une batterie d’évaluation des troubles lexico-sémantiques: dissociation des catégories grammaticales. Talk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presented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at the Conférence Logopédie &amp; Aphasie, Clinique universitaires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Sain-Luc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, Bruxelles, Belgium.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[19]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Andres, M., &amp; Pillon, A. (2012).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When does action comprehension need motor involvement? Evidence from upper limb aplasia. Poster presented at the workshop “Concepts, Actions, and Objects: Functional and Neural Perspectives”, Rovereto, Italy. 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[18]</w:t>
            </w:r>
          </w:p>
        </w:tc>
        <w:tc>
          <w:tcPr>
            <w:tcW w:w="80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it-IT" w:eastAsia="fr-BE"/>
              </w:rPr>
              <w:t xml:space="preserve">Di Luca, S. &amp; 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it-IT" w:eastAsia="fr-BE"/>
              </w:rPr>
              <w:t xml:space="preserve"> (2012).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Number semantic rooted in sensory-motor schemas: a single case study. Poster presented at the workshop “Concepts, Actions, and Objects: Functional and Neural Perspectives”, Rovereto, Italy.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en-US" w:eastAsia="fr-BE"/>
              </w:rPr>
              <w:t>2011</w:t>
            </w: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[17]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Andres, M. &amp; Pillon, A. The role of mirror neurons in action understanding.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Belgian Association for Psychological Sciences, Ghent, Belgium. 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[16]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Pillon, A. The role of the motor system in action comprehension.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Symposium “Memory in normal aging and preclinical dementia: Insights from cognitive and neuroimaging studies”, Brussels,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[15]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Andres, M.  &amp; Pillon, A. The motor theory of action understanding. Insight from an individual with upper limb aplasia. Talk presented at the Institute of Psychological </w:t>
            </w:r>
            <w:proofErr w:type="gramStart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Sciences ,</w:t>
            </w:r>
            <w:proofErr w:type="gramEnd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Université catholique de Louvain, Louvain-la-Neuve, Belgium.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[14]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Vannuscorps, G.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Seeing the world without arms. When does motor knowledge contributes to (re)</w:t>
            </w:r>
            <w:proofErr w:type="gramStart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cognition ?</w:t>
            </w:r>
            <w:proofErr w:type="gramEnd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Department of Experimental Psychology, Ghent University, Belgium.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[13]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Le diagnostic cognitif des troubles lexico-sémantiques chez le patient aphasique – une perspective intégrant la catégorie grammaticale « verbes ». Talk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presented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Centre de revalidation neuropsychologique, Cliniques universitaires Saint-Luc, Bruxelles, Belgium. 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[12]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Le diagnostic cognitif des troubles lexicaux pour les noms et les verbes chez la personne aphasique.</w:t>
            </w:r>
            <w:r w:rsidRPr="007C312B">
              <w:rPr>
                <w:rFonts w:eastAsia="Times New Roman" w:cs="Times New Roman"/>
                <w:i/>
                <w:iCs/>
                <w:color w:val="000000"/>
                <w:sz w:val="22"/>
                <w:lang w:val="fr-BE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Talk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presented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Union professionnelle des logopèdes francophones, Liège, Belgium.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[11]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Andres, M. &amp; Pillon, A. When does motor competence contributes to action comprehension? Poster presented at the Ph.D.Day of the Institute of Neuroscience, Université catholique de Louvain, </w:t>
            </w:r>
            <w:proofErr w:type="spellStart"/>
            <w:proofErr w:type="gramStart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Bruxels</w:t>
            </w:r>
            <w:proofErr w:type="spellEnd"/>
            <w:proofErr w:type="gramEnd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lastRenderedPageBreak/>
              <w:t>[10]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Andres, M. &amp; Pillon, A. When does motor competence contributes to action comprehension? Poster presented at the Symposium “Social Brain”, Brussels,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[9]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Andres, M. &amp; Pillon, A. What is the role of motor simulation in action understanding? Poster presented at the Experimental Psychology Society, Nottingham, England.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en-US" w:eastAsia="fr-BE"/>
              </w:rPr>
              <w:t>2010</w:t>
            </w: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[8]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Andres, M. &amp; Pillon, A. Upper limb aplasia does not hamper manual action understanding. Poster presented at the workshop “The Embodied Mind. Perspectives and Limitations”, Nijmegen, The Netherlands.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[7]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Diagnostic différentiel d’un déficit de production pour les verbes. Talk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presented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Centre de réadaptation neuropsychologique, Hôpital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Brugmann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,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Bruxels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, Belgium.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[6]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Andres, M. &amp; Pillon, A. (2010).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Upper limb aplasia does not hamper manual action </w:t>
            </w:r>
            <w:proofErr w:type="gramStart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understanding .</w:t>
            </w:r>
            <w:proofErr w:type="gramEnd"/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Ph.D. Day of the Institute of Neuroscience, Université catholique de Louvain, Bruxelles,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[5]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Pillon, A. (2010). A case of a selective conceptual deficit for artifacts and 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a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>ctions. Talk presented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Belgian Association for Psychological Sciences, Brussels,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[4]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. &amp; Pillon, A. (2010). Un cas de déficit sémantique spécifique aux actions et aux objets manufacturés. Talk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presented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Institute of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Psychological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Sciences, Université catholique de Louvain, Louvain-la-Neuve, Belgium. 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[3]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G.,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Pillon, A. &amp; Andres, M (2010). 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Does motor imagery depend on motor experience? Poster presented at the Belgian Association for Psychological Sciences, Brussels, Belgium.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en-US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  <w:r w:rsidRPr="007C312B">
              <w:rPr>
                <w:rFonts w:eastAsia="Calibri" w:cs="Times New Roman"/>
                <w:b/>
                <w:bCs/>
                <w:color w:val="000000"/>
                <w:szCs w:val="24"/>
                <w:lang w:val="en-US" w:eastAsia="fr-BE"/>
              </w:rPr>
              <w:t>2009</w:t>
            </w:r>
          </w:p>
        </w:tc>
      </w:tr>
      <w:tr w:rsidR="007C312B" w:rsidRPr="007C312B" w:rsidTr="007C312B">
        <w:trPr>
          <w:trHeight w:val="30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B" w:rsidRPr="007C312B" w:rsidRDefault="007C312B" w:rsidP="007C312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[2]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Le verbe, le geste et le concept d’action. Etude d’un cas. Talk </w:t>
            </w:r>
            <w:proofErr w:type="spellStart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presented</w:t>
            </w:r>
            <w:proofErr w:type="spellEnd"/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 at the</w:t>
            </w: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  <w:t xml:space="preserve"> </w:t>
            </w: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 xml:space="preserve">Centre de revalidation neuropsychologique, Cliniques universitaires Saint-Luc, Bruxelles, Belgium.  </w:t>
            </w: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fr-BE" w:eastAsia="fr-BE"/>
              </w:rPr>
            </w:pPr>
          </w:p>
        </w:tc>
      </w:tr>
      <w:tr w:rsidR="007C312B" w:rsidRPr="007C312B" w:rsidTr="007C31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color w:val="000000"/>
                <w:sz w:val="22"/>
                <w:lang w:val="fr-BE" w:eastAsia="fr-BE"/>
              </w:rPr>
            </w:pPr>
            <w:r w:rsidRPr="007C312B">
              <w:rPr>
                <w:rFonts w:eastAsia="Times New Roman" w:cs="Times New Roman"/>
                <w:color w:val="000000"/>
                <w:sz w:val="22"/>
                <w:lang w:val="fr-BE" w:eastAsia="fr-BE"/>
              </w:rPr>
              <w:t>[1]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B" w:rsidRPr="007C312B" w:rsidRDefault="007C312B" w:rsidP="007C312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</w:pPr>
            <w:r w:rsidRPr="007C312B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fr-BE"/>
              </w:rPr>
              <w:t>Vannuscorps, G.</w:t>
            </w:r>
            <w:r w:rsidRPr="007C312B">
              <w:rPr>
                <w:rFonts w:eastAsia="Times New Roman" w:cs="Times New Roman"/>
                <w:color w:val="000000"/>
                <w:sz w:val="22"/>
                <w:lang w:val="en-US" w:eastAsia="fr-BE"/>
              </w:rPr>
              <w:t xml:space="preserve"> &amp; Pillon, A. (2009). A case of a selective conceptual deficit for artifacts and actions. Poster presented at the Neurobiology of Language Conference, Chicago, USA. </w:t>
            </w:r>
          </w:p>
        </w:tc>
      </w:tr>
    </w:tbl>
    <w:p w:rsidR="00F900D3" w:rsidRPr="00B008DB" w:rsidRDefault="00F900D3" w:rsidP="00F900D3">
      <w:pPr>
        <w:pStyle w:val="Paragraphedeliste"/>
        <w:autoSpaceDE w:val="0"/>
        <w:autoSpaceDN w:val="0"/>
        <w:adjustRightInd w:val="0"/>
        <w:ind w:left="0"/>
        <w:jc w:val="both"/>
        <w:rPr>
          <w:sz w:val="20"/>
          <w:szCs w:val="20"/>
          <w:lang w:val="en-US"/>
        </w:rPr>
      </w:pPr>
      <w:r w:rsidRPr="00B008DB">
        <w:rPr>
          <w:rFonts w:cs="Times New Roman"/>
          <w:sz w:val="20"/>
          <w:szCs w:val="20"/>
          <w:lang w:val="en-US"/>
        </w:rPr>
        <w:t xml:space="preserve"> </w:t>
      </w:r>
      <w:r w:rsidRPr="00B008DB">
        <w:rPr>
          <w:rFonts w:cs="Times New Roman"/>
          <w:sz w:val="20"/>
          <w:szCs w:val="20"/>
          <w:lang w:val="en-US"/>
        </w:rPr>
        <w:tab/>
      </w:r>
      <w:r w:rsidRPr="00B008DB">
        <w:rPr>
          <w:sz w:val="20"/>
          <w:szCs w:val="20"/>
          <w:lang w:val="en-US"/>
        </w:rPr>
        <w:t xml:space="preserve"> </w:t>
      </w:r>
    </w:p>
    <w:p w:rsidR="00F900D3" w:rsidRDefault="00F900D3" w:rsidP="005F29F6">
      <w:pPr>
        <w:autoSpaceDE w:val="0"/>
        <w:autoSpaceDN w:val="0"/>
        <w:adjustRightInd w:val="0"/>
        <w:ind w:left="708" w:hanging="708"/>
        <w:rPr>
          <w:rFonts w:cs="Times New Roman"/>
          <w:bCs/>
          <w:iCs/>
          <w:sz w:val="20"/>
          <w:szCs w:val="20"/>
          <w:u w:val="single"/>
          <w:lang w:val="en-US"/>
        </w:rPr>
      </w:pPr>
    </w:p>
    <w:p w:rsidR="001D400A" w:rsidRPr="00C91518" w:rsidRDefault="001D400A" w:rsidP="00C91518">
      <w:pPr>
        <w:autoSpaceDE w:val="0"/>
        <w:autoSpaceDN w:val="0"/>
        <w:adjustRightInd w:val="0"/>
        <w:rPr>
          <w:rFonts w:cs="Times New Roman"/>
          <w:b/>
          <w:bCs/>
          <w:iCs/>
          <w:smallCaps/>
          <w:sz w:val="28"/>
          <w:szCs w:val="24"/>
          <w:lang w:val="en-US"/>
        </w:rPr>
      </w:pPr>
      <w:r w:rsidRPr="00C91518">
        <w:rPr>
          <w:rFonts w:cs="Times New Roman"/>
          <w:b/>
          <w:bCs/>
          <w:iCs/>
          <w:smallCaps/>
          <w:sz w:val="28"/>
          <w:szCs w:val="24"/>
          <w:lang w:val="en-US"/>
        </w:rPr>
        <w:t xml:space="preserve">Peer Review </w:t>
      </w:r>
    </w:p>
    <w:p w:rsidR="001D400A" w:rsidRPr="00C802E3" w:rsidRDefault="001D400A" w:rsidP="00C91518">
      <w:pPr>
        <w:autoSpaceDE w:val="0"/>
        <w:autoSpaceDN w:val="0"/>
        <w:adjustRightInd w:val="0"/>
        <w:rPr>
          <w:rFonts w:cs="Times New Roman"/>
          <w:b/>
          <w:bCs/>
          <w:iCs/>
          <w:sz w:val="20"/>
          <w:szCs w:val="20"/>
          <w:u w:val="single"/>
          <w:lang w:val="en-US"/>
        </w:rPr>
      </w:pPr>
    </w:p>
    <w:p w:rsidR="001D400A" w:rsidRPr="002F0300" w:rsidRDefault="001D400A" w:rsidP="001D400A">
      <w:pPr>
        <w:autoSpaceDE w:val="0"/>
        <w:autoSpaceDN w:val="0"/>
        <w:adjustRightInd w:val="0"/>
        <w:rPr>
          <w:rFonts w:cs="Times New Roman"/>
          <w:sz w:val="22"/>
          <w:szCs w:val="20"/>
          <w:lang w:val="en-US"/>
        </w:rPr>
      </w:pPr>
      <w:proofErr w:type="spellStart"/>
      <w:r w:rsidRPr="002F0300">
        <w:rPr>
          <w:rFonts w:cs="Times New Roman"/>
          <w:sz w:val="22"/>
          <w:szCs w:val="20"/>
          <w:lang w:val="en-US"/>
        </w:rPr>
        <w:t>Acta</w:t>
      </w:r>
      <w:proofErr w:type="spellEnd"/>
      <w:r w:rsidRPr="002F0300">
        <w:rPr>
          <w:rFonts w:cs="Times New Roman"/>
          <w:sz w:val="22"/>
          <w:szCs w:val="20"/>
          <w:lang w:val="en-US"/>
        </w:rPr>
        <w:t xml:space="preserve"> </w:t>
      </w:r>
      <w:proofErr w:type="spellStart"/>
      <w:r w:rsidRPr="002F0300">
        <w:rPr>
          <w:rFonts w:cs="Times New Roman"/>
          <w:sz w:val="22"/>
          <w:szCs w:val="20"/>
          <w:lang w:val="en-US"/>
        </w:rPr>
        <w:t>Psychologica</w:t>
      </w:r>
      <w:proofErr w:type="spellEnd"/>
      <w:r w:rsidRPr="002F0300">
        <w:rPr>
          <w:rFonts w:cs="Times New Roman"/>
          <w:sz w:val="22"/>
          <w:szCs w:val="20"/>
          <w:lang w:val="en-US"/>
        </w:rPr>
        <w:t xml:space="preserve">, </w:t>
      </w:r>
      <w:proofErr w:type="spellStart"/>
      <w:r w:rsidRPr="002F0300">
        <w:rPr>
          <w:rFonts w:cs="Times New Roman"/>
          <w:sz w:val="22"/>
          <w:szCs w:val="20"/>
          <w:lang w:val="en-US"/>
        </w:rPr>
        <w:t>Plos</w:t>
      </w:r>
      <w:proofErr w:type="spellEnd"/>
      <w:r w:rsidRPr="002F0300">
        <w:rPr>
          <w:rFonts w:cs="Times New Roman"/>
          <w:sz w:val="22"/>
          <w:szCs w:val="20"/>
          <w:lang w:val="en-US"/>
        </w:rPr>
        <w:t xml:space="preserve"> One, Frontiers in Human Neuroscience, Frontiers in Psychology: Cognition</w:t>
      </w:r>
      <w:r w:rsidR="00EF1332">
        <w:rPr>
          <w:rFonts w:cs="Times New Roman"/>
          <w:sz w:val="22"/>
          <w:szCs w:val="20"/>
          <w:lang w:val="en-US"/>
        </w:rPr>
        <w:t>, Brain &amp; Cognition</w:t>
      </w:r>
    </w:p>
    <w:p w:rsidR="001D400A" w:rsidRDefault="001D400A" w:rsidP="005F29F6">
      <w:pPr>
        <w:autoSpaceDE w:val="0"/>
        <w:autoSpaceDN w:val="0"/>
        <w:adjustRightInd w:val="0"/>
        <w:ind w:left="708" w:hanging="708"/>
        <w:rPr>
          <w:rFonts w:cs="Times New Roman"/>
          <w:bCs/>
          <w:iCs/>
          <w:sz w:val="20"/>
          <w:szCs w:val="20"/>
          <w:u w:val="single"/>
          <w:lang w:val="en-US"/>
        </w:rPr>
      </w:pPr>
    </w:p>
    <w:p w:rsidR="001D400A" w:rsidRDefault="001D400A" w:rsidP="005F29F6">
      <w:pPr>
        <w:autoSpaceDE w:val="0"/>
        <w:autoSpaceDN w:val="0"/>
        <w:adjustRightInd w:val="0"/>
        <w:ind w:left="708" w:hanging="708"/>
        <w:rPr>
          <w:rFonts w:cs="Times New Roman"/>
          <w:bCs/>
          <w:iCs/>
          <w:sz w:val="20"/>
          <w:szCs w:val="20"/>
          <w:u w:val="single"/>
          <w:lang w:val="en-US"/>
        </w:rPr>
      </w:pPr>
    </w:p>
    <w:p w:rsidR="00B008DB" w:rsidRPr="00C91518" w:rsidRDefault="00B008DB" w:rsidP="00C91518">
      <w:pPr>
        <w:autoSpaceDE w:val="0"/>
        <w:autoSpaceDN w:val="0"/>
        <w:adjustRightInd w:val="0"/>
        <w:rPr>
          <w:rFonts w:cs="Times New Roman"/>
          <w:b/>
          <w:bCs/>
          <w:iCs/>
          <w:smallCaps/>
          <w:sz w:val="28"/>
          <w:szCs w:val="24"/>
          <w:lang w:val="en-US"/>
        </w:rPr>
      </w:pPr>
      <w:r w:rsidRPr="00C91518">
        <w:rPr>
          <w:rFonts w:cs="Times New Roman"/>
          <w:b/>
          <w:bCs/>
          <w:iCs/>
          <w:smallCaps/>
          <w:sz w:val="28"/>
          <w:szCs w:val="24"/>
          <w:lang w:val="en-US"/>
        </w:rPr>
        <w:t>Teaching</w:t>
      </w:r>
    </w:p>
    <w:p w:rsidR="00B008DB" w:rsidRPr="00C802E3" w:rsidRDefault="00B008DB" w:rsidP="00C91518">
      <w:pPr>
        <w:autoSpaceDE w:val="0"/>
        <w:autoSpaceDN w:val="0"/>
        <w:adjustRightInd w:val="0"/>
        <w:rPr>
          <w:rFonts w:cs="Times New Roman"/>
          <w:b/>
          <w:bCs/>
          <w:iCs/>
          <w:sz w:val="20"/>
          <w:szCs w:val="20"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5C59E0" w:rsidTr="00CB675C">
        <w:tc>
          <w:tcPr>
            <w:tcW w:w="7797" w:type="dxa"/>
          </w:tcPr>
          <w:p w:rsidR="005C59E0" w:rsidRPr="002F0300" w:rsidRDefault="005C59E0" w:rsidP="00F85EB0">
            <w:pPr>
              <w:rPr>
                <w:rFonts w:cs="Times New Roman"/>
                <w:sz w:val="22"/>
                <w:lang w:val="en-US"/>
              </w:rPr>
            </w:pPr>
            <w:r w:rsidRPr="002F0300">
              <w:rPr>
                <w:rFonts w:cs="Times New Roman"/>
                <w:bCs/>
                <w:sz w:val="22"/>
                <w:lang w:val="fr-BE"/>
              </w:rPr>
              <w:t>Guest Lectures</w:t>
            </w:r>
            <w:r w:rsidRPr="002F0300">
              <w:rPr>
                <w:rFonts w:cs="Times New Roman"/>
                <w:sz w:val="22"/>
                <w:lang w:val="fr-BE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C59E0" w:rsidRPr="00920B52" w:rsidRDefault="005C59E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5C59E0" w:rsidRPr="00EE5884" w:rsidTr="00CB675C">
        <w:tc>
          <w:tcPr>
            <w:tcW w:w="7797" w:type="dxa"/>
          </w:tcPr>
          <w:p w:rsidR="005C59E0" w:rsidRPr="002F0300" w:rsidRDefault="006506D1" w:rsidP="006506D1">
            <w:pPr>
              <w:ind w:left="2124" w:hanging="1806"/>
              <w:jc w:val="both"/>
              <w:rPr>
                <w:rFonts w:cs="Times New Roman"/>
                <w:sz w:val="22"/>
                <w:lang w:val="en-US"/>
              </w:rPr>
            </w:pPr>
            <w:r w:rsidRPr="002F0300">
              <w:rPr>
                <w:rFonts w:cs="Times New Roman"/>
                <w:sz w:val="22"/>
                <w:lang w:val="en-US"/>
              </w:rPr>
              <w:t xml:space="preserve">“The content and organization of conceptual knowledge.” </w:t>
            </w:r>
            <w:r w:rsidRPr="002F0300">
              <w:rPr>
                <w:rFonts w:cs="Times New Roman"/>
                <w:sz w:val="22"/>
                <w:lang w:val="fr-BE"/>
              </w:rPr>
              <w:t xml:space="preserve">(6 </w:t>
            </w:r>
            <w:proofErr w:type="spellStart"/>
            <w:r w:rsidRPr="002F0300">
              <w:rPr>
                <w:rFonts w:cs="Times New Roman"/>
                <w:sz w:val="22"/>
                <w:lang w:val="fr-BE"/>
              </w:rPr>
              <w:t>hours</w:t>
            </w:r>
            <w:proofErr w:type="spellEnd"/>
            <w:r w:rsidRPr="002F0300">
              <w:rPr>
                <w:rFonts w:cs="Times New Roman"/>
                <w:sz w:val="22"/>
                <w:lang w:val="fr-BE"/>
              </w:rPr>
              <w:t>).</w:t>
            </w:r>
          </w:p>
        </w:tc>
        <w:tc>
          <w:tcPr>
            <w:tcW w:w="1383" w:type="dxa"/>
            <w:vAlign w:val="center"/>
          </w:tcPr>
          <w:p w:rsidR="005C59E0" w:rsidRPr="00920B52" w:rsidRDefault="006506D1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2013</w:t>
            </w:r>
          </w:p>
        </w:tc>
      </w:tr>
      <w:tr w:rsidR="005C59E0" w:rsidRPr="00687D79" w:rsidTr="00CB675C">
        <w:tc>
          <w:tcPr>
            <w:tcW w:w="7797" w:type="dxa"/>
          </w:tcPr>
          <w:p w:rsidR="005C59E0" w:rsidRPr="002F0300" w:rsidRDefault="006506D1" w:rsidP="00D01A45">
            <w:pPr>
              <w:ind w:left="2124" w:hanging="1806"/>
              <w:jc w:val="both"/>
              <w:rPr>
                <w:rFonts w:cs="Times New Roman"/>
                <w:sz w:val="22"/>
                <w:lang w:val="en-US"/>
              </w:rPr>
            </w:pPr>
            <w:r w:rsidRPr="002F0300">
              <w:rPr>
                <w:rFonts w:cs="Times New Roman"/>
                <w:sz w:val="22"/>
                <w:lang w:val="en-US"/>
              </w:rPr>
              <w:t xml:space="preserve"> </w:t>
            </w:r>
            <w:r w:rsidR="00D01A45" w:rsidRPr="002F0300">
              <w:rPr>
                <w:rFonts w:cs="Times New Roman"/>
                <w:sz w:val="22"/>
                <w:lang w:val="en-US"/>
              </w:rPr>
              <w:t>Questions of neuroscience (</w:t>
            </w:r>
            <w:r w:rsidRPr="002F0300">
              <w:rPr>
                <w:rFonts w:cs="Times New Roman"/>
                <w:sz w:val="22"/>
                <w:lang w:val="en-US"/>
              </w:rPr>
              <w:t>2</w:t>
            </w:r>
            <w:r w:rsidRPr="002F0300">
              <w:rPr>
                <w:rFonts w:cs="Times New Roman"/>
                <w:sz w:val="22"/>
                <w:vertAlign w:val="superscript"/>
                <w:lang w:val="en-US"/>
              </w:rPr>
              <w:t>nd</w:t>
            </w:r>
            <w:r w:rsidRPr="002F0300">
              <w:rPr>
                <w:rFonts w:cs="Times New Roman"/>
                <w:sz w:val="22"/>
                <w:lang w:val="en-US"/>
              </w:rPr>
              <w:t xml:space="preserve"> Master</w:t>
            </w:r>
            <w:r w:rsidR="00D01A45" w:rsidRPr="002F0300">
              <w:rPr>
                <w:rFonts w:cs="Times New Roman"/>
                <w:sz w:val="22"/>
                <w:lang w:val="en-US"/>
              </w:rPr>
              <w:t xml:space="preserve">) </w:t>
            </w:r>
            <w:r w:rsidRPr="002F0300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C59E0" w:rsidRPr="00920B52" w:rsidRDefault="005C59E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6506D1" w:rsidP="006506D1">
            <w:pPr>
              <w:ind w:left="2124" w:hanging="1806"/>
              <w:jc w:val="both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cs="Times New Roman"/>
                <w:sz w:val="22"/>
                <w:lang w:val="en-US"/>
              </w:rPr>
              <w:t xml:space="preserve"> </w:t>
            </w:r>
            <w:r w:rsidRPr="002F0300">
              <w:rPr>
                <w:rFonts w:cs="Times New Roman"/>
                <w:sz w:val="22"/>
                <w:lang w:val="fr-BE"/>
              </w:rPr>
              <w:t xml:space="preserve">Université catholique de Louvain, Belgium. </w:t>
            </w: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5C59E0" w:rsidP="00F85EB0">
            <w:pPr>
              <w:ind w:left="1418" w:hanging="1100"/>
              <w:rPr>
                <w:rFonts w:cs="Times New Roman"/>
                <w:sz w:val="22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6506D1" w:rsidP="006506D1">
            <w:pPr>
              <w:ind w:firstLine="318"/>
              <w:rPr>
                <w:rFonts w:cs="Times New Roman"/>
                <w:sz w:val="22"/>
                <w:lang w:val="en-US"/>
              </w:rPr>
            </w:pPr>
            <w:r w:rsidRPr="002F0300">
              <w:rPr>
                <w:rFonts w:cs="Times New Roman"/>
                <w:sz w:val="22"/>
                <w:lang w:val="en-US"/>
              </w:rPr>
              <w:t xml:space="preserve">“Diagnostic in aphasia – the case of nouns and verbs” </w:t>
            </w:r>
            <w:r w:rsidRPr="002F0300">
              <w:rPr>
                <w:rFonts w:eastAsia="Calibri" w:cs="Times New Roman"/>
                <w:bCs/>
                <w:sz w:val="22"/>
                <w:lang w:val="en-US"/>
              </w:rPr>
              <w:t>(8 hours)</w:t>
            </w:r>
          </w:p>
        </w:tc>
        <w:tc>
          <w:tcPr>
            <w:tcW w:w="1383" w:type="dxa"/>
            <w:vAlign w:val="center"/>
          </w:tcPr>
          <w:p w:rsidR="005C59E0" w:rsidRPr="006506D1" w:rsidRDefault="006506D1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2012</w:t>
            </w:r>
          </w:p>
        </w:tc>
      </w:tr>
      <w:tr w:rsidR="005C59E0" w:rsidRPr="00687D79" w:rsidTr="00CB675C">
        <w:tc>
          <w:tcPr>
            <w:tcW w:w="7797" w:type="dxa"/>
          </w:tcPr>
          <w:p w:rsidR="005C59E0" w:rsidRPr="002F0300" w:rsidRDefault="00FD7C0B" w:rsidP="00FD7C0B">
            <w:pPr>
              <w:ind w:firstLine="318"/>
              <w:rPr>
                <w:rFonts w:cs="Times New Roman"/>
                <w:bCs/>
                <w:sz w:val="22"/>
                <w:lang w:val="en-US"/>
              </w:rPr>
            </w:pPr>
            <w:r w:rsidRPr="002F0300">
              <w:rPr>
                <w:rFonts w:cs="Times New Roman"/>
                <w:bCs/>
                <w:sz w:val="22"/>
                <w:lang w:val="en-US"/>
              </w:rPr>
              <w:t>Additional training</w:t>
            </w:r>
            <w:r w:rsidR="006506D1" w:rsidRPr="002F0300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r w:rsidR="00D01A45" w:rsidRPr="002F0300">
              <w:rPr>
                <w:rFonts w:cs="Times New Roman"/>
                <w:bCs/>
                <w:sz w:val="22"/>
                <w:lang w:val="en-US"/>
              </w:rPr>
              <w:t>for</w:t>
            </w:r>
            <w:r w:rsidR="006506D1" w:rsidRPr="002F0300">
              <w:rPr>
                <w:rFonts w:cs="Times New Roman"/>
                <w:bCs/>
                <w:sz w:val="22"/>
                <w:lang w:val="en-US"/>
              </w:rPr>
              <w:t xml:space="preserve"> speech therapists. </w:t>
            </w: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6506D1" w:rsidP="006506D1">
            <w:pPr>
              <w:ind w:firstLine="318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eastAsia="Calibri" w:cs="Times New Roman"/>
                <w:bCs/>
                <w:sz w:val="22"/>
                <w:lang w:val="fr-BE"/>
              </w:rPr>
              <w:t>Union professionnelle des logopèdes francophones,  Belgium.</w:t>
            </w: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6506D1" w:rsidRPr="006506D1" w:rsidTr="00CB675C">
        <w:tc>
          <w:tcPr>
            <w:tcW w:w="7797" w:type="dxa"/>
          </w:tcPr>
          <w:p w:rsidR="006506D1" w:rsidRPr="002F0300" w:rsidRDefault="006506D1" w:rsidP="006506D1">
            <w:pPr>
              <w:ind w:firstLine="318"/>
              <w:rPr>
                <w:rFonts w:eastAsia="Calibri" w:cs="Times New Roman"/>
                <w:bCs/>
                <w:sz w:val="22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6506D1" w:rsidRPr="006506D1" w:rsidRDefault="006506D1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6506D1" w:rsidP="006506D1">
            <w:pPr>
              <w:jc w:val="both"/>
              <w:rPr>
                <w:rFonts w:cs="Times New Roman"/>
                <w:bCs/>
                <w:sz w:val="22"/>
                <w:lang w:val="en-US"/>
              </w:rPr>
            </w:pPr>
            <w:r w:rsidRPr="002F0300">
              <w:rPr>
                <w:rFonts w:cs="Times New Roman"/>
                <w:bCs/>
                <w:sz w:val="22"/>
                <w:lang w:val="en-US"/>
              </w:rPr>
              <w:t>Assistantship</w:t>
            </w: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5C59E0" w:rsidRPr="00920B52" w:rsidTr="00CB675C">
        <w:tc>
          <w:tcPr>
            <w:tcW w:w="7797" w:type="dxa"/>
          </w:tcPr>
          <w:p w:rsidR="005C59E0" w:rsidRPr="002F0300" w:rsidRDefault="006506D1" w:rsidP="00056593">
            <w:pPr>
              <w:ind w:firstLine="284"/>
              <w:jc w:val="both"/>
              <w:rPr>
                <w:rFonts w:cs="Times New Roman"/>
                <w:sz w:val="22"/>
                <w:lang w:val="en-US"/>
              </w:rPr>
            </w:pPr>
            <w:r w:rsidRPr="002F0300">
              <w:rPr>
                <w:rFonts w:cs="Times New Roman"/>
                <w:sz w:val="22"/>
                <w:lang w:val="en-US"/>
              </w:rPr>
              <w:t xml:space="preserve">Bibliographic Research Methods. </w:t>
            </w:r>
            <w:r w:rsidR="000E4505" w:rsidRPr="002F0300">
              <w:rPr>
                <w:rFonts w:cs="Times New Roman"/>
                <w:sz w:val="22"/>
                <w:lang w:val="en-US"/>
              </w:rPr>
              <w:t>(</w:t>
            </w:r>
            <w:r w:rsidRPr="002F0300">
              <w:rPr>
                <w:rFonts w:cs="Times New Roman"/>
                <w:sz w:val="22"/>
                <w:lang w:val="en-US"/>
              </w:rPr>
              <w:t>20 hours</w:t>
            </w:r>
            <w:r w:rsidR="000E4505" w:rsidRPr="002F0300">
              <w:rPr>
                <w:rFonts w:cs="Times New Roman"/>
                <w:sz w:val="22"/>
                <w:lang w:val="en-US"/>
              </w:rPr>
              <w:t>)</w:t>
            </w:r>
            <w:r w:rsidRPr="002F0300">
              <w:rPr>
                <w:rFonts w:cs="Times New Roman"/>
                <w:sz w:val="22"/>
                <w:lang w:val="en-US"/>
              </w:rPr>
              <w:t xml:space="preserve">. </w:t>
            </w:r>
          </w:p>
        </w:tc>
        <w:tc>
          <w:tcPr>
            <w:tcW w:w="1383" w:type="dxa"/>
            <w:vAlign w:val="center"/>
          </w:tcPr>
          <w:p w:rsidR="005C59E0" w:rsidRPr="00920B52" w:rsidRDefault="006506D1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2008</w:t>
            </w: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6506D1" w:rsidP="006506D1">
            <w:pPr>
              <w:jc w:val="both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cs="Times New Roman"/>
                <w:sz w:val="22"/>
                <w:lang w:val="fr-BE"/>
              </w:rPr>
              <w:t xml:space="preserve">     Prof. A. Constant, Université libre de Bruxelles. </w:t>
            </w: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5C59E0" w:rsidP="00F85EB0">
            <w:pPr>
              <w:jc w:val="both"/>
              <w:rPr>
                <w:rFonts w:cs="Times New Roman"/>
                <w:sz w:val="22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6506D1" w:rsidRPr="002F0300" w:rsidRDefault="006506D1" w:rsidP="006506D1">
            <w:pPr>
              <w:jc w:val="both"/>
              <w:rPr>
                <w:rFonts w:cs="Times New Roman"/>
                <w:sz w:val="22"/>
                <w:lang w:val="fr-BE"/>
              </w:rPr>
            </w:pPr>
            <w:proofErr w:type="spellStart"/>
            <w:r w:rsidRPr="002F0300">
              <w:rPr>
                <w:rFonts w:cs="Times New Roman"/>
                <w:sz w:val="22"/>
                <w:lang w:val="fr-BE"/>
              </w:rPr>
              <w:t>Supervisor</w:t>
            </w:r>
            <w:proofErr w:type="spellEnd"/>
          </w:p>
        </w:tc>
        <w:tc>
          <w:tcPr>
            <w:tcW w:w="1383" w:type="dxa"/>
            <w:vAlign w:val="center"/>
          </w:tcPr>
          <w:p w:rsidR="005C59E0" w:rsidRPr="006506D1" w:rsidRDefault="005C59E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5C59E0" w:rsidRPr="00687D79" w:rsidTr="00CB675C">
        <w:tc>
          <w:tcPr>
            <w:tcW w:w="7797" w:type="dxa"/>
          </w:tcPr>
          <w:p w:rsidR="005C59E0" w:rsidRPr="002F0300" w:rsidRDefault="006506D1" w:rsidP="006506D1">
            <w:pPr>
              <w:ind w:left="1416" w:hanging="1098"/>
              <w:jc w:val="both"/>
              <w:rPr>
                <w:rFonts w:cs="Times New Roman"/>
                <w:bCs/>
                <w:sz w:val="22"/>
                <w:lang w:val="en-US"/>
              </w:rPr>
            </w:pPr>
            <w:r w:rsidRPr="002F0300">
              <w:rPr>
                <w:rFonts w:cs="Times New Roman"/>
                <w:sz w:val="22"/>
                <w:lang w:val="en-US"/>
              </w:rPr>
              <w:t xml:space="preserve">Master’s thesis in speech therapy and in neuropsychology </w:t>
            </w:r>
          </w:p>
        </w:tc>
        <w:tc>
          <w:tcPr>
            <w:tcW w:w="1383" w:type="dxa"/>
          </w:tcPr>
          <w:p w:rsidR="005C59E0" w:rsidRPr="006506D1" w:rsidRDefault="005C59E0" w:rsidP="00F85E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C59E0" w:rsidRPr="006506D1" w:rsidTr="00CB675C">
        <w:tc>
          <w:tcPr>
            <w:tcW w:w="7797" w:type="dxa"/>
          </w:tcPr>
          <w:p w:rsidR="005C59E0" w:rsidRPr="002F0300" w:rsidRDefault="006506D1" w:rsidP="006506D1">
            <w:pPr>
              <w:ind w:left="1416" w:hanging="1098"/>
              <w:jc w:val="both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cs="Times New Roman"/>
                <w:sz w:val="22"/>
                <w:lang w:val="fr-BE"/>
              </w:rPr>
              <w:t xml:space="preserve">Université catholique de Louvain, Belgium (2 - 3 per </w:t>
            </w:r>
            <w:proofErr w:type="spellStart"/>
            <w:r w:rsidRPr="002F0300">
              <w:rPr>
                <w:rFonts w:cs="Times New Roman"/>
                <w:sz w:val="22"/>
                <w:lang w:val="fr-BE"/>
              </w:rPr>
              <w:t>year</w:t>
            </w:r>
            <w:proofErr w:type="spellEnd"/>
            <w:r w:rsidRPr="002F0300">
              <w:rPr>
                <w:rFonts w:cs="Times New Roman"/>
                <w:sz w:val="22"/>
                <w:lang w:val="fr-BE"/>
              </w:rPr>
              <w:t>).</w:t>
            </w:r>
          </w:p>
        </w:tc>
        <w:tc>
          <w:tcPr>
            <w:tcW w:w="1383" w:type="dxa"/>
          </w:tcPr>
          <w:p w:rsidR="005C59E0" w:rsidRPr="006506D1" w:rsidRDefault="006506D1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6506D1">
              <w:rPr>
                <w:rFonts w:cs="Times New Roman"/>
                <w:i/>
                <w:sz w:val="20"/>
                <w:szCs w:val="20"/>
                <w:lang w:val="fr-BE"/>
              </w:rPr>
              <w:t>2009-2013</w:t>
            </w:r>
          </w:p>
        </w:tc>
      </w:tr>
      <w:tr w:rsidR="006506D1" w:rsidRPr="006506D1" w:rsidTr="00CB675C">
        <w:tc>
          <w:tcPr>
            <w:tcW w:w="7797" w:type="dxa"/>
          </w:tcPr>
          <w:p w:rsidR="006506D1" w:rsidRPr="002F0300" w:rsidRDefault="006506D1" w:rsidP="006506D1">
            <w:pPr>
              <w:ind w:left="1416" w:hanging="1098"/>
              <w:jc w:val="both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cs="Times New Roman"/>
                <w:sz w:val="22"/>
                <w:lang w:val="fr-BE"/>
              </w:rPr>
              <w:t xml:space="preserve">Université libre de Bruxelles, Belgium (2 - 3 per </w:t>
            </w:r>
            <w:proofErr w:type="spellStart"/>
            <w:r w:rsidRPr="002F0300">
              <w:rPr>
                <w:rFonts w:cs="Times New Roman"/>
                <w:sz w:val="22"/>
                <w:lang w:val="fr-BE"/>
              </w:rPr>
              <w:t>year</w:t>
            </w:r>
            <w:proofErr w:type="spellEnd"/>
            <w:r w:rsidRPr="002F0300">
              <w:rPr>
                <w:rFonts w:cs="Times New Roman"/>
                <w:sz w:val="22"/>
                <w:lang w:val="fr-BE"/>
              </w:rPr>
              <w:t>).</w:t>
            </w:r>
          </w:p>
        </w:tc>
        <w:tc>
          <w:tcPr>
            <w:tcW w:w="1383" w:type="dxa"/>
          </w:tcPr>
          <w:p w:rsidR="006506D1" w:rsidRPr="006506D1" w:rsidRDefault="006506D1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6506D1">
              <w:rPr>
                <w:rFonts w:cs="Times New Roman"/>
                <w:i/>
                <w:sz w:val="20"/>
                <w:szCs w:val="20"/>
                <w:lang w:val="fr-BE"/>
              </w:rPr>
              <w:t>2009-2013</w:t>
            </w:r>
          </w:p>
        </w:tc>
      </w:tr>
      <w:tr w:rsidR="006506D1" w:rsidRPr="006506D1" w:rsidTr="00CB675C">
        <w:tc>
          <w:tcPr>
            <w:tcW w:w="7797" w:type="dxa"/>
          </w:tcPr>
          <w:p w:rsidR="006506D1" w:rsidRPr="002F0300" w:rsidRDefault="006506D1" w:rsidP="006506D1">
            <w:pPr>
              <w:ind w:left="1416" w:hanging="1098"/>
              <w:jc w:val="both"/>
              <w:rPr>
                <w:rFonts w:cs="Times New Roman"/>
                <w:sz w:val="22"/>
                <w:lang w:val="fr-BE"/>
              </w:rPr>
            </w:pPr>
          </w:p>
        </w:tc>
        <w:tc>
          <w:tcPr>
            <w:tcW w:w="1383" w:type="dxa"/>
          </w:tcPr>
          <w:p w:rsidR="006506D1" w:rsidRDefault="006506D1" w:rsidP="00F85EB0">
            <w:pPr>
              <w:rPr>
                <w:rFonts w:cs="Times New Roman"/>
                <w:sz w:val="20"/>
                <w:szCs w:val="20"/>
                <w:lang w:val="fr-BE"/>
              </w:rPr>
            </w:pPr>
          </w:p>
        </w:tc>
      </w:tr>
      <w:tr w:rsidR="006506D1" w:rsidRPr="006506D1" w:rsidTr="00CB675C">
        <w:tc>
          <w:tcPr>
            <w:tcW w:w="7797" w:type="dxa"/>
          </w:tcPr>
          <w:p w:rsidR="006506D1" w:rsidRPr="002F0300" w:rsidRDefault="006506D1" w:rsidP="006506D1">
            <w:pPr>
              <w:jc w:val="both"/>
              <w:rPr>
                <w:rFonts w:cs="Times New Roman"/>
                <w:sz w:val="22"/>
                <w:lang w:val="fr-BE"/>
              </w:rPr>
            </w:pPr>
            <w:proofErr w:type="spellStart"/>
            <w:r w:rsidRPr="002F0300">
              <w:rPr>
                <w:rFonts w:cs="Times New Roman"/>
                <w:sz w:val="22"/>
                <w:lang w:val="fr-BE"/>
              </w:rPr>
              <w:t>Tutor</w:t>
            </w:r>
            <w:proofErr w:type="spellEnd"/>
          </w:p>
        </w:tc>
        <w:tc>
          <w:tcPr>
            <w:tcW w:w="1383" w:type="dxa"/>
          </w:tcPr>
          <w:p w:rsidR="006506D1" w:rsidRDefault="006506D1" w:rsidP="00F85EB0">
            <w:pPr>
              <w:rPr>
                <w:rFonts w:cs="Times New Roman"/>
                <w:sz w:val="20"/>
                <w:szCs w:val="20"/>
                <w:lang w:val="fr-BE"/>
              </w:rPr>
            </w:pPr>
          </w:p>
        </w:tc>
      </w:tr>
      <w:tr w:rsidR="006506D1" w:rsidRPr="00687D79" w:rsidTr="00CB675C">
        <w:tc>
          <w:tcPr>
            <w:tcW w:w="7797" w:type="dxa"/>
          </w:tcPr>
          <w:p w:rsidR="006506D1" w:rsidRPr="002F0300" w:rsidRDefault="006506D1" w:rsidP="006506D1">
            <w:pPr>
              <w:ind w:left="1416" w:hanging="1098"/>
              <w:jc w:val="both"/>
              <w:rPr>
                <w:rFonts w:cs="Times New Roman"/>
                <w:sz w:val="22"/>
                <w:lang w:val="en-US"/>
              </w:rPr>
            </w:pPr>
            <w:r w:rsidRPr="002F0300">
              <w:rPr>
                <w:rFonts w:cs="Times New Roman"/>
                <w:sz w:val="22"/>
                <w:lang w:val="en-US"/>
              </w:rPr>
              <w:t>Clinical internships in speech therapy and in neuropsychology</w:t>
            </w:r>
          </w:p>
        </w:tc>
        <w:tc>
          <w:tcPr>
            <w:tcW w:w="1383" w:type="dxa"/>
          </w:tcPr>
          <w:p w:rsidR="006506D1" w:rsidRPr="006506D1" w:rsidRDefault="006506D1" w:rsidP="00F85E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506D1" w:rsidRPr="006506D1" w:rsidTr="00CB675C">
        <w:tc>
          <w:tcPr>
            <w:tcW w:w="7797" w:type="dxa"/>
          </w:tcPr>
          <w:p w:rsidR="006506D1" w:rsidRPr="002F0300" w:rsidRDefault="006506D1" w:rsidP="00F85EB0">
            <w:pPr>
              <w:ind w:left="1416" w:hanging="1098"/>
              <w:jc w:val="both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cs="Times New Roman"/>
                <w:sz w:val="22"/>
                <w:lang w:val="fr-BE"/>
              </w:rPr>
              <w:t xml:space="preserve">Université catholique de Louvain, Belgium (2 - 3 per </w:t>
            </w:r>
            <w:proofErr w:type="spellStart"/>
            <w:r w:rsidRPr="002F0300">
              <w:rPr>
                <w:rFonts w:cs="Times New Roman"/>
                <w:sz w:val="22"/>
                <w:lang w:val="fr-BE"/>
              </w:rPr>
              <w:t>year</w:t>
            </w:r>
            <w:proofErr w:type="spellEnd"/>
            <w:r w:rsidRPr="002F0300">
              <w:rPr>
                <w:rFonts w:cs="Times New Roman"/>
                <w:sz w:val="22"/>
                <w:lang w:val="fr-BE"/>
              </w:rPr>
              <w:t>).</w:t>
            </w:r>
          </w:p>
        </w:tc>
        <w:tc>
          <w:tcPr>
            <w:tcW w:w="1383" w:type="dxa"/>
          </w:tcPr>
          <w:p w:rsidR="006506D1" w:rsidRPr="006506D1" w:rsidRDefault="006506D1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6506D1">
              <w:rPr>
                <w:rFonts w:cs="Times New Roman"/>
                <w:i/>
                <w:sz w:val="20"/>
                <w:szCs w:val="20"/>
                <w:lang w:val="fr-BE"/>
              </w:rPr>
              <w:t>2009-2013</w:t>
            </w:r>
          </w:p>
        </w:tc>
      </w:tr>
      <w:tr w:rsidR="006506D1" w:rsidRPr="006506D1" w:rsidTr="00CB675C">
        <w:tc>
          <w:tcPr>
            <w:tcW w:w="7797" w:type="dxa"/>
          </w:tcPr>
          <w:p w:rsidR="006506D1" w:rsidRPr="002F0300" w:rsidRDefault="006506D1" w:rsidP="00F85EB0">
            <w:pPr>
              <w:ind w:left="1416" w:hanging="1098"/>
              <w:jc w:val="both"/>
              <w:rPr>
                <w:rFonts w:cs="Times New Roman"/>
                <w:sz w:val="22"/>
                <w:lang w:val="fr-BE"/>
              </w:rPr>
            </w:pPr>
            <w:r w:rsidRPr="002F0300">
              <w:rPr>
                <w:rFonts w:cs="Times New Roman"/>
                <w:sz w:val="22"/>
                <w:lang w:val="fr-BE"/>
              </w:rPr>
              <w:t xml:space="preserve">Université libre de Bruxelles, Belgium (2 - 3 per </w:t>
            </w:r>
            <w:proofErr w:type="spellStart"/>
            <w:r w:rsidRPr="002F0300">
              <w:rPr>
                <w:rFonts w:cs="Times New Roman"/>
                <w:sz w:val="22"/>
                <w:lang w:val="fr-BE"/>
              </w:rPr>
              <w:t>year</w:t>
            </w:r>
            <w:proofErr w:type="spellEnd"/>
            <w:r w:rsidRPr="002F0300">
              <w:rPr>
                <w:rFonts w:cs="Times New Roman"/>
                <w:sz w:val="22"/>
                <w:lang w:val="fr-BE"/>
              </w:rPr>
              <w:t>).</w:t>
            </w:r>
          </w:p>
        </w:tc>
        <w:tc>
          <w:tcPr>
            <w:tcW w:w="1383" w:type="dxa"/>
          </w:tcPr>
          <w:p w:rsidR="006506D1" w:rsidRPr="006506D1" w:rsidRDefault="006506D1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6506D1">
              <w:rPr>
                <w:rFonts w:cs="Times New Roman"/>
                <w:i/>
                <w:sz w:val="20"/>
                <w:szCs w:val="20"/>
                <w:lang w:val="fr-BE"/>
              </w:rPr>
              <w:t>2009-2013</w:t>
            </w:r>
          </w:p>
        </w:tc>
      </w:tr>
    </w:tbl>
    <w:p w:rsidR="00D01A45" w:rsidRDefault="00D01A45" w:rsidP="00D01A45">
      <w:pPr>
        <w:autoSpaceDE w:val="0"/>
        <w:autoSpaceDN w:val="0"/>
        <w:adjustRightInd w:val="0"/>
        <w:rPr>
          <w:rFonts w:cs="Times New Roman"/>
          <w:b/>
          <w:bCs/>
          <w:iCs/>
          <w:szCs w:val="24"/>
          <w:lang w:val="fr-BE"/>
        </w:rPr>
      </w:pPr>
    </w:p>
    <w:p w:rsidR="00D01A45" w:rsidRPr="00C91518" w:rsidRDefault="00D01A45" w:rsidP="00C91518">
      <w:pPr>
        <w:autoSpaceDE w:val="0"/>
        <w:autoSpaceDN w:val="0"/>
        <w:adjustRightInd w:val="0"/>
        <w:rPr>
          <w:rFonts w:cs="Times New Roman"/>
          <w:b/>
          <w:smallCaps/>
          <w:sz w:val="28"/>
          <w:szCs w:val="24"/>
          <w:lang w:val="en-US"/>
        </w:rPr>
      </w:pPr>
      <w:r w:rsidRPr="00C91518">
        <w:rPr>
          <w:rFonts w:cs="Times New Roman"/>
          <w:b/>
          <w:smallCaps/>
          <w:sz w:val="28"/>
          <w:szCs w:val="24"/>
          <w:lang w:val="en-US"/>
        </w:rPr>
        <w:t>Clinical experience</w:t>
      </w:r>
    </w:p>
    <w:p w:rsidR="00D01A45" w:rsidRPr="00D01A45" w:rsidRDefault="00D01A45" w:rsidP="00C91518">
      <w:pPr>
        <w:autoSpaceDE w:val="0"/>
        <w:autoSpaceDN w:val="0"/>
        <w:adjustRightInd w:val="0"/>
        <w:rPr>
          <w:rFonts w:cs="Times New Roman"/>
          <w:b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D01A45" w:rsidTr="00CB675C">
        <w:tc>
          <w:tcPr>
            <w:tcW w:w="7797" w:type="dxa"/>
          </w:tcPr>
          <w:p w:rsidR="00D01A45" w:rsidRPr="001B053B" w:rsidRDefault="00D01A45" w:rsidP="00F85EB0">
            <w:pPr>
              <w:rPr>
                <w:rFonts w:cs="Times New Roman"/>
                <w:sz w:val="22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2"/>
                <w:szCs w:val="20"/>
                <w:lang w:val="fr-BE"/>
              </w:rPr>
              <w:t>Internships</w:t>
            </w:r>
            <w:proofErr w:type="spellEnd"/>
            <w:r w:rsidRPr="0084488E">
              <w:rPr>
                <w:rFonts w:cs="Times New Roman"/>
                <w:sz w:val="22"/>
                <w:szCs w:val="20"/>
                <w:lang w:val="fr-BE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01A45" w:rsidRPr="00920B52" w:rsidRDefault="00D01A4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D01A45" w:rsidRPr="00D01A45" w:rsidTr="00CB675C">
        <w:tc>
          <w:tcPr>
            <w:tcW w:w="7797" w:type="dxa"/>
          </w:tcPr>
          <w:p w:rsidR="00D01A45" w:rsidRPr="00D01A45" w:rsidRDefault="00D01A45" w:rsidP="000E4505">
            <w:pPr>
              <w:ind w:left="2124" w:hanging="1806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 w:rsidRPr="00D01A45">
              <w:rPr>
                <w:rFonts w:cs="Times New Roman"/>
                <w:sz w:val="22"/>
                <w:szCs w:val="20"/>
                <w:lang w:val="en-US"/>
              </w:rPr>
              <w:t xml:space="preserve">Developmental disabilities: </w:t>
            </w:r>
            <w:r>
              <w:rPr>
                <w:rFonts w:cs="Times New Roman"/>
                <w:sz w:val="22"/>
                <w:szCs w:val="20"/>
                <w:lang w:val="en-US"/>
              </w:rPr>
              <w:t>d</w:t>
            </w:r>
            <w:r w:rsidRPr="00D01A45">
              <w:rPr>
                <w:rFonts w:cs="Times New Roman"/>
                <w:sz w:val="22"/>
                <w:szCs w:val="20"/>
                <w:lang w:val="en-US"/>
              </w:rPr>
              <w:t xml:space="preserve">iagnosis and 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>r</w:t>
            </w:r>
            <w:r w:rsidRPr="00D01A45">
              <w:rPr>
                <w:rFonts w:cs="Times New Roman"/>
                <w:sz w:val="22"/>
                <w:szCs w:val="20"/>
                <w:lang w:val="en-US"/>
              </w:rPr>
              <w:t xml:space="preserve">ehabilitation. </w:t>
            </w:r>
            <w:r>
              <w:rPr>
                <w:rFonts w:cs="Times New Roman"/>
                <w:sz w:val="22"/>
                <w:szCs w:val="20"/>
                <w:lang w:val="en-US"/>
              </w:rPr>
              <w:t>(450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>h</w:t>
            </w:r>
            <w:r>
              <w:rPr>
                <w:rFonts w:cs="Times New Roman"/>
                <w:sz w:val="22"/>
                <w:szCs w:val="20"/>
                <w:lang w:val="en-US"/>
              </w:rPr>
              <w:t>s)</w:t>
            </w:r>
          </w:p>
        </w:tc>
        <w:tc>
          <w:tcPr>
            <w:tcW w:w="1383" w:type="dxa"/>
            <w:vAlign w:val="center"/>
          </w:tcPr>
          <w:p w:rsidR="00D01A45" w:rsidRPr="00D01A45" w:rsidRDefault="00D01A45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  <w:r w:rsidRPr="00D01A45">
              <w:rPr>
                <w:rFonts w:cs="Times New Roman"/>
                <w:i/>
                <w:sz w:val="20"/>
                <w:szCs w:val="20"/>
                <w:lang w:val="fr-BE"/>
              </w:rPr>
              <w:t>2009</w:t>
            </w:r>
          </w:p>
        </w:tc>
      </w:tr>
      <w:tr w:rsidR="002B5507" w:rsidRPr="00D01A45" w:rsidTr="00CB675C">
        <w:tc>
          <w:tcPr>
            <w:tcW w:w="7797" w:type="dxa"/>
          </w:tcPr>
          <w:p w:rsidR="002B5507" w:rsidRPr="00D01A45" w:rsidRDefault="002B5507" w:rsidP="000E4505">
            <w:pPr>
              <w:ind w:left="2124" w:hanging="1806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 xml:space="preserve">Dyslexia, dysphasia, dyscalculia, </w:t>
            </w:r>
            <w:r w:rsidR="002F6990">
              <w:rPr>
                <w:rFonts w:cs="Times New Roman"/>
                <w:sz w:val="22"/>
                <w:szCs w:val="20"/>
                <w:lang w:val="en-US"/>
              </w:rPr>
              <w:t>dysarthria</w:t>
            </w:r>
          </w:p>
        </w:tc>
        <w:tc>
          <w:tcPr>
            <w:tcW w:w="1383" w:type="dxa"/>
            <w:vAlign w:val="center"/>
          </w:tcPr>
          <w:p w:rsidR="002B5507" w:rsidRPr="00D01A45" w:rsidRDefault="002B5507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D01A45" w:rsidRPr="00D01A45" w:rsidTr="00CB675C">
        <w:tc>
          <w:tcPr>
            <w:tcW w:w="7797" w:type="dxa"/>
          </w:tcPr>
          <w:p w:rsidR="00D01A45" w:rsidRPr="00D01A45" w:rsidRDefault="00D01A45" w:rsidP="00D01A45">
            <w:pPr>
              <w:ind w:left="2124" w:hanging="1806"/>
              <w:jc w:val="both"/>
              <w:rPr>
                <w:rFonts w:cs="Times New Roman"/>
                <w:sz w:val="22"/>
                <w:szCs w:val="20"/>
                <w:lang w:val="fr-BE"/>
              </w:rPr>
            </w:pPr>
            <w:r w:rsidRPr="00E54BE2">
              <w:rPr>
                <w:rFonts w:cs="Times New Roman"/>
                <w:sz w:val="20"/>
                <w:szCs w:val="20"/>
                <w:lang w:val="fr-BE"/>
              </w:rPr>
              <w:t>Centre de Consultatio</w:t>
            </w:r>
            <w:r>
              <w:rPr>
                <w:rFonts w:cs="Times New Roman"/>
                <w:sz w:val="20"/>
                <w:szCs w:val="20"/>
                <w:lang w:val="fr-BE"/>
              </w:rPr>
              <w:t>ns Psychologiques Spécialisées</w:t>
            </w:r>
            <w:r w:rsidR="002F6990">
              <w:rPr>
                <w:rFonts w:cs="Times New Roman"/>
                <w:sz w:val="20"/>
                <w:szCs w:val="20"/>
                <w:lang w:val="fr-BE"/>
              </w:rPr>
              <w:t xml:space="preserve">, </w:t>
            </w:r>
            <w:r w:rsidR="002F6990" w:rsidRPr="00E54BE2">
              <w:rPr>
                <w:rFonts w:cs="Times New Roman"/>
                <w:sz w:val="20"/>
                <w:szCs w:val="20"/>
                <w:lang w:val="fr-BE"/>
              </w:rPr>
              <w:t>Université catholique de Louvain</w:t>
            </w:r>
          </w:p>
        </w:tc>
        <w:tc>
          <w:tcPr>
            <w:tcW w:w="1383" w:type="dxa"/>
            <w:vAlign w:val="center"/>
          </w:tcPr>
          <w:p w:rsidR="00D01A45" w:rsidRPr="00D01A45" w:rsidRDefault="00D01A45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D01A45" w:rsidRPr="00D01A45" w:rsidTr="00CB675C">
        <w:tc>
          <w:tcPr>
            <w:tcW w:w="7797" w:type="dxa"/>
          </w:tcPr>
          <w:p w:rsidR="00D01A45" w:rsidRPr="00591909" w:rsidRDefault="00D01A45" w:rsidP="00D01A45">
            <w:pPr>
              <w:autoSpaceDE w:val="0"/>
              <w:autoSpaceDN w:val="0"/>
              <w:adjustRightInd w:val="0"/>
              <w:ind w:left="2124" w:hanging="2124"/>
              <w:jc w:val="both"/>
              <w:rPr>
                <w:rFonts w:cs="Times New Roman"/>
                <w:sz w:val="22"/>
                <w:szCs w:val="20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D01A45" w:rsidRPr="00591909" w:rsidRDefault="00D01A45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D01A45" w:rsidRPr="006506D1" w:rsidTr="00CB675C">
        <w:tc>
          <w:tcPr>
            <w:tcW w:w="7797" w:type="dxa"/>
          </w:tcPr>
          <w:p w:rsidR="00D01A45" w:rsidRPr="00D01A45" w:rsidRDefault="00D01A45" w:rsidP="002B5507">
            <w:pPr>
              <w:ind w:left="2124" w:hanging="1806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Aphasia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 xml:space="preserve"> &amp;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 neuropsychological disorders</w:t>
            </w:r>
            <w:r w:rsidRPr="00D01A45">
              <w:rPr>
                <w:rFonts w:cs="Times New Roman"/>
                <w:sz w:val="22"/>
                <w:szCs w:val="20"/>
                <w:lang w:val="en-US"/>
              </w:rPr>
              <w:t xml:space="preserve">: </w:t>
            </w:r>
            <w:r>
              <w:rPr>
                <w:rFonts w:cs="Times New Roman"/>
                <w:sz w:val="22"/>
                <w:szCs w:val="20"/>
                <w:lang w:val="en-US"/>
              </w:rPr>
              <w:t>d</w:t>
            </w:r>
            <w:r w:rsidRPr="00D01A45">
              <w:rPr>
                <w:rFonts w:cs="Times New Roman"/>
                <w:sz w:val="22"/>
                <w:szCs w:val="20"/>
                <w:lang w:val="en-US"/>
              </w:rPr>
              <w:t xml:space="preserve">iagnosis and 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>r</w:t>
            </w:r>
            <w:r w:rsidRPr="00D01A45">
              <w:rPr>
                <w:rFonts w:cs="Times New Roman"/>
                <w:sz w:val="22"/>
                <w:szCs w:val="20"/>
                <w:lang w:val="en-US"/>
              </w:rPr>
              <w:t xml:space="preserve">ehabilitation. </w:t>
            </w:r>
            <w:r>
              <w:rPr>
                <w:rFonts w:cs="Times New Roman"/>
                <w:sz w:val="22"/>
                <w:szCs w:val="20"/>
                <w:lang w:val="en-US"/>
              </w:rPr>
              <w:t>(450h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>s</w:t>
            </w:r>
            <w:r>
              <w:rPr>
                <w:rFonts w:cs="Times New Roman"/>
                <w:sz w:val="22"/>
                <w:szCs w:val="20"/>
                <w:lang w:val="en-US"/>
              </w:rPr>
              <w:t>)</w:t>
            </w:r>
          </w:p>
        </w:tc>
        <w:tc>
          <w:tcPr>
            <w:tcW w:w="1383" w:type="dxa"/>
            <w:vAlign w:val="center"/>
          </w:tcPr>
          <w:p w:rsidR="00D01A45" w:rsidRPr="006506D1" w:rsidRDefault="00D01A45" w:rsidP="00D01A4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2009</w:t>
            </w:r>
          </w:p>
        </w:tc>
      </w:tr>
      <w:tr w:rsidR="002F6990" w:rsidRPr="00687D79" w:rsidTr="00CB675C">
        <w:tc>
          <w:tcPr>
            <w:tcW w:w="7797" w:type="dxa"/>
          </w:tcPr>
          <w:p w:rsidR="002F6990" w:rsidRDefault="002F6990" w:rsidP="002B5507">
            <w:pPr>
              <w:ind w:left="2124" w:hanging="1806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Lexical, syntactic, conceptual, articulation disorders in the context of aphasia</w:t>
            </w:r>
          </w:p>
        </w:tc>
        <w:tc>
          <w:tcPr>
            <w:tcW w:w="1383" w:type="dxa"/>
            <w:vAlign w:val="center"/>
          </w:tcPr>
          <w:p w:rsidR="002F6990" w:rsidRDefault="002F6990" w:rsidP="00D01A4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D01A45" w:rsidRPr="00D01A45" w:rsidTr="00CB675C">
        <w:tc>
          <w:tcPr>
            <w:tcW w:w="7797" w:type="dxa"/>
          </w:tcPr>
          <w:p w:rsidR="00D01A45" w:rsidRPr="00D01A45" w:rsidRDefault="00D01A45" w:rsidP="00D01A45">
            <w:pPr>
              <w:autoSpaceDE w:val="0"/>
              <w:autoSpaceDN w:val="0"/>
              <w:adjustRightInd w:val="0"/>
              <w:ind w:left="2124" w:hanging="1806"/>
              <w:jc w:val="both"/>
              <w:rPr>
                <w:rFonts w:cs="Times New Roman"/>
                <w:sz w:val="22"/>
                <w:szCs w:val="20"/>
                <w:lang w:val="fr-BE"/>
              </w:rPr>
            </w:pPr>
            <w:r w:rsidRPr="00E54BE2">
              <w:rPr>
                <w:sz w:val="20"/>
                <w:szCs w:val="20"/>
                <w:lang w:val="fr-BE"/>
              </w:rPr>
              <w:t xml:space="preserve">Centre de Revalidation Neuropsychologique, </w:t>
            </w:r>
            <w:r w:rsidR="002F6990" w:rsidRPr="00E54BE2">
              <w:rPr>
                <w:sz w:val="20"/>
                <w:szCs w:val="20"/>
                <w:lang w:val="fr-BE"/>
              </w:rPr>
              <w:t>Cliniques universitaires Saint-Luc</w:t>
            </w:r>
          </w:p>
        </w:tc>
        <w:tc>
          <w:tcPr>
            <w:tcW w:w="1383" w:type="dxa"/>
            <w:vAlign w:val="center"/>
          </w:tcPr>
          <w:p w:rsidR="00D01A45" w:rsidRPr="00D01A45" w:rsidRDefault="00D01A45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D01A45" w:rsidRPr="006506D1" w:rsidTr="00CB675C">
        <w:tc>
          <w:tcPr>
            <w:tcW w:w="7797" w:type="dxa"/>
          </w:tcPr>
          <w:p w:rsidR="00D01A45" w:rsidRPr="006506D1" w:rsidRDefault="00D01A45" w:rsidP="00F85EB0">
            <w:pPr>
              <w:ind w:firstLine="318"/>
              <w:rPr>
                <w:rFonts w:eastAsia="Calibri" w:cs="Times New Roman"/>
                <w:bCs/>
                <w:sz w:val="20"/>
                <w:szCs w:val="20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D01A45" w:rsidRPr="006506D1" w:rsidRDefault="00D01A45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D01A45" w:rsidRPr="00687D79" w:rsidTr="00CB675C">
        <w:tc>
          <w:tcPr>
            <w:tcW w:w="7797" w:type="dxa"/>
          </w:tcPr>
          <w:p w:rsidR="00D01A45" w:rsidRPr="00D01A45" w:rsidRDefault="000E4505" w:rsidP="000E4505">
            <w:pPr>
              <w:jc w:val="both"/>
              <w:rPr>
                <w:rFonts w:cs="Times New Roman"/>
                <w:bCs/>
                <w:sz w:val="22"/>
                <w:szCs w:val="20"/>
                <w:lang w:val="en-US"/>
              </w:rPr>
            </w:pPr>
            <w:r>
              <w:rPr>
                <w:rFonts w:cs="Times New Roman"/>
                <w:bCs/>
                <w:sz w:val="22"/>
                <w:szCs w:val="20"/>
                <w:lang w:val="en-US"/>
              </w:rPr>
              <w:t>Experience with patients in the context of research</w:t>
            </w:r>
          </w:p>
        </w:tc>
        <w:tc>
          <w:tcPr>
            <w:tcW w:w="1383" w:type="dxa"/>
            <w:vAlign w:val="center"/>
          </w:tcPr>
          <w:p w:rsidR="00D01A45" w:rsidRPr="00D01A45" w:rsidRDefault="00D01A4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D01A45" w:rsidRPr="00687D79" w:rsidTr="00CB675C">
        <w:tc>
          <w:tcPr>
            <w:tcW w:w="7797" w:type="dxa"/>
          </w:tcPr>
          <w:p w:rsidR="00D01A45" w:rsidRPr="00D01A45" w:rsidRDefault="000E4505" w:rsidP="000E4505">
            <w:pPr>
              <w:tabs>
                <w:tab w:val="left" w:pos="6153"/>
              </w:tabs>
              <w:ind w:left="1416" w:hanging="109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Project: “The representation of verbs, nouns, actions and object in Mind/Brain”</w:t>
            </w:r>
          </w:p>
        </w:tc>
        <w:tc>
          <w:tcPr>
            <w:tcW w:w="1383" w:type="dxa"/>
            <w:vAlign w:val="center"/>
          </w:tcPr>
          <w:p w:rsidR="00D01A45" w:rsidRPr="000E4505" w:rsidRDefault="00D01A45" w:rsidP="00D01A4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D01A45" w:rsidRPr="000E4505" w:rsidTr="00CB675C">
        <w:tc>
          <w:tcPr>
            <w:tcW w:w="7797" w:type="dxa"/>
          </w:tcPr>
          <w:p w:rsidR="00D01A45" w:rsidRPr="000E4505" w:rsidRDefault="000E4505" w:rsidP="000E4505">
            <w:pPr>
              <w:ind w:firstLine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Cognitive evaluation of aphasic patients (± 20 patients, 4 – 40hs each)</w:t>
            </w:r>
          </w:p>
        </w:tc>
        <w:tc>
          <w:tcPr>
            <w:tcW w:w="1383" w:type="dxa"/>
            <w:vAlign w:val="center"/>
          </w:tcPr>
          <w:p w:rsidR="00D01A45" w:rsidRPr="000E4505" w:rsidRDefault="002B5507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2008-2013</w:t>
            </w:r>
          </w:p>
        </w:tc>
      </w:tr>
      <w:tr w:rsidR="00D01A45" w:rsidRPr="000E4505" w:rsidTr="00CB675C">
        <w:tc>
          <w:tcPr>
            <w:tcW w:w="7797" w:type="dxa"/>
          </w:tcPr>
          <w:p w:rsidR="00D01A45" w:rsidRPr="000E4505" w:rsidRDefault="002B5507" w:rsidP="002B5507">
            <w:pPr>
              <w:ind w:firstLine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Cognitive evaluation of patients with Alzheimer Disease (7 patients, 2hs each)</w:t>
            </w:r>
          </w:p>
        </w:tc>
        <w:tc>
          <w:tcPr>
            <w:tcW w:w="1383" w:type="dxa"/>
            <w:vAlign w:val="center"/>
          </w:tcPr>
          <w:p w:rsidR="00D01A45" w:rsidRPr="000E4505" w:rsidRDefault="002B5507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2009</w:t>
            </w:r>
          </w:p>
        </w:tc>
      </w:tr>
      <w:tr w:rsidR="00D01A45" w:rsidRPr="000E4505" w:rsidTr="00CB675C">
        <w:tc>
          <w:tcPr>
            <w:tcW w:w="7797" w:type="dxa"/>
          </w:tcPr>
          <w:p w:rsidR="00D01A45" w:rsidRPr="000E4505" w:rsidRDefault="00D01A45" w:rsidP="00F85EB0">
            <w:pPr>
              <w:jc w:val="both"/>
              <w:rPr>
                <w:rFonts w:cs="Times New Roman"/>
                <w:sz w:val="22"/>
                <w:szCs w:val="20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D01A45" w:rsidRPr="000E4505" w:rsidRDefault="00D01A4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B5507" w:rsidRPr="00687D79" w:rsidTr="00CB675C">
        <w:tc>
          <w:tcPr>
            <w:tcW w:w="7797" w:type="dxa"/>
          </w:tcPr>
          <w:p w:rsidR="002B5507" w:rsidRPr="000E4505" w:rsidRDefault="002B5507" w:rsidP="002B5507">
            <w:pPr>
              <w:ind w:firstLine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Project: “Intensive multimodal therapy for conceptual disorders”</w:t>
            </w:r>
          </w:p>
        </w:tc>
        <w:tc>
          <w:tcPr>
            <w:tcW w:w="1383" w:type="dxa"/>
            <w:vAlign w:val="center"/>
          </w:tcPr>
          <w:p w:rsidR="002B5507" w:rsidRPr="002B5507" w:rsidRDefault="002B5507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B5507" w:rsidRPr="000E4505" w:rsidTr="00CB675C">
        <w:tc>
          <w:tcPr>
            <w:tcW w:w="7797" w:type="dxa"/>
          </w:tcPr>
          <w:p w:rsidR="002B5507" w:rsidRPr="000E4505" w:rsidRDefault="002B5507" w:rsidP="002F6990">
            <w:pPr>
              <w:ind w:firstLine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Evaluation and experimental therapy o</w:t>
            </w:r>
            <w:r w:rsidR="002F6990">
              <w:rPr>
                <w:rFonts w:cs="Times New Roman"/>
                <w:sz w:val="22"/>
                <w:szCs w:val="20"/>
                <w:lang w:val="en-US"/>
              </w:rPr>
              <w:t>n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 one aphasic patient (± 40 hours)</w:t>
            </w:r>
          </w:p>
        </w:tc>
        <w:tc>
          <w:tcPr>
            <w:tcW w:w="1383" w:type="dxa"/>
            <w:vAlign w:val="center"/>
          </w:tcPr>
          <w:p w:rsidR="002B5507" w:rsidRPr="000E450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2B5507">
              <w:rPr>
                <w:rFonts w:cs="Times New Roman"/>
                <w:i/>
                <w:sz w:val="20"/>
                <w:szCs w:val="20"/>
                <w:lang w:val="en-US"/>
              </w:rPr>
              <w:t>2010</w:t>
            </w:r>
          </w:p>
        </w:tc>
      </w:tr>
      <w:tr w:rsidR="002B5507" w:rsidRPr="000E4505" w:rsidTr="00CB675C">
        <w:tc>
          <w:tcPr>
            <w:tcW w:w="7797" w:type="dxa"/>
          </w:tcPr>
          <w:p w:rsidR="002B5507" w:rsidRPr="000E4505" w:rsidRDefault="002B5507" w:rsidP="00F85EB0">
            <w:pPr>
              <w:jc w:val="both"/>
              <w:rPr>
                <w:rFonts w:cs="Times New Roman"/>
                <w:sz w:val="22"/>
                <w:szCs w:val="20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2B5507" w:rsidRPr="000E4505" w:rsidRDefault="002B5507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0E4505" w:rsidRPr="00687D79" w:rsidTr="00CB675C">
        <w:tc>
          <w:tcPr>
            <w:tcW w:w="7797" w:type="dxa"/>
          </w:tcPr>
          <w:p w:rsidR="000E4505" w:rsidRPr="00D01A45" w:rsidRDefault="000E4505" w:rsidP="000E4505">
            <w:pPr>
              <w:tabs>
                <w:tab w:val="left" w:pos="6153"/>
              </w:tabs>
              <w:ind w:left="1416" w:hanging="109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Project: “The role of the motor system in action and tools processing”</w:t>
            </w:r>
          </w:p>
        </w:tc>
        <w:tc>
          <w:tcPr>
            <w:tcW w:w="1383" w:type="dxa"/>
            <w:vAlign w:val="center"/>
          </w:tcPr>
          <w:p w:rsidR="000E4505" w:rsidRPr="000E4505" w:rsidRDefault="000E450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0E4505" w:rsidRPr="000E4505" w:rsidTr="00CB675C">
        <w:tc>
          <w:tcPr>
            <w:tcW w:w="7797" w:type="dxa"/>
          </w:tcPr>
          <w:p w:rsidR="000E4505" w:rsidRPr="000E4505" w:rsidRDefault="002B5507" w:rsidP="002F6990">
            <w:pPr>
              <w:ind w:left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Sensory, motor, praxis, linguistic and conceptual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 xml:space="preserve"> evaluation of </w:t>
            </w:r>
            <w:r>
              <w:rPr>
                <w:rFonts w:cs="Times New Roman"/>
                <w:sz w:val="22"/>
                <w:szCs w:val="20"/>
                <w:lang w:val="en-US"/>
              </w:rPr>
              <w:t>one patient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with </w:t>
            </w:r>
            <w:proofErr w:type="spellStart"/>
            <w:r w:rsidR="002F6990">
              <w:rPr>
                <w:rFonts w:cs="Times New Roman"/>
                <w:sz w:val="22"/>
                <w:szCs w:val="20"/>
                <w:lang w:val="en-US"/>
              </w:rPr>
              <w:t>C</w:t>
            </w:r>
            <w:r>
              <w:rPr>
                <w:rFonts w:cs="Times New Roman"/>
                <w:sz w:val="22"/>
                <w:szCs w:val="20"/>
                <w:lang w:val="en-US"/>
              </w:rPr>
              <w:t>ortico</w:t>
            </w:r>
            <w:proofErr w:type="spellEnd"/>
            <w:r>
              <w:rPr>
                <w:rFonts w:cs="Times New Roman"/>
                <w:sz w:val="22"/>
                <w:szCs w:val="20"/>
                <w:lang w:val="en-US"/>
              </w:rPr>
              <w:t>-</w:t>
            </w:r>
            <w:r w:rsidR="002F6990">
              <w:rPr>
                <w:rFonts w:cs="Times New Roman"/>
                <w:sz w:val="22"/>
                <w:szCs w:val="20"/>
                <w:lang w:val="en-US"/>
              </w:rPr>
              <w:t>B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asal </w:t>
            </w:r>
            <w:r w:rsidR="002F6990">
              <w:rPr>
                <w:rFonts w:cs="Times New Roman"/>
                <w:sz w:val="22"/>
                <w:szCs w:val="20"/>
                <w:lang w:val="en-US"/>
              </w:rPr>
              <w:t>D</w:t>
            </w:r>
            <w:r>
              <w:rPr>
                <w:rFonts w:cs="Times New Roman"/>
                <w:sz w:val="22"/>
                <w:szCs w:val="20"/>
                <w:lang w:val="en-US"/>
              </w:rPr>
              <w:t>egeneration (four-year longitudinal study, ± 40</w:t>
            </w:r>
            <w:r w:rsidR="000E4505">
              <w:rPr>
                <w:rFonts w:cs="Times New Roman"/>
                <w:sz w:val="22"/>
                <w:szCs w:val="20"/>
                <w:lang w:val="en-US"/>
              </w:rPr>
              <w:t>hs)</w:t>
            </w:r>
          </w:p>
        </w:tc>
        <w:tc>
          <w:tcPr>
            <w:tcW w:w="1383" w:type="dxa"/>
            <w:vAlign w:val="center"/>
          </w:tcPr>
          <w:p w:rsidR="000E4505" w:rsidRPr="000E4505" w:rsidRDefault="002B5507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2009-2013</w:t>
            </w:r>
          </w:p>
        </w:tc>
      </w:tr>
      <w:tr w:rsidR="000E4505" w:rsidRPr="000E4505" w:rsidTr="00CB675C">
        <w:tc>
          <w:tcPr>
            <w:tcW w:w="7797" w:type="dxa"/>
          </w:tcPr>
          <w:p w:rsidR="000E4505" w:rsidRPr="000E4505" w:rsidRDefault="000E4505" w:rsidP="00F85EB0">
            <w:pPr>
              <w:ind w:firstLine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Cognitive evaluation of apraxic patients (5 patients, 4 – 10hs each)</w:t>
            </w:r>
          </w:p>
        </w:tc>
        <w:tc>
          <w:tcPr>
            <w:tcW w:w="1383" w:type="dxa"/>
            <w:vAlign w:val="center"/>
          </w:tcPr>
          <w:p w:rsidR="000E4505" w:rsidRPr="000E4505" w:rsidRDefault="002B5507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2009-2011</w:t>
            </w:r>
          </w:p>
        </w:tc>
      </w:tr>
      <w:tr w:rsidR="000E4505" w:rsidRPr="000E4505" w:rsidTr="00CB675C">
        <w:tc>
          <w:tcPr>
            <w:tcW w:w="7797" w:type="dxa"/>
          </w:tcPr>
          <w:p w:rsidR="000E4505" w:rsidRPr="000E4505" w:rsidRDefault="000E4505" w:rsidP="00DB36B5">
            <w:pPr>
              <w:ind w:left="318"/>
              <w:jc w:val="both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 xml:space="preserve">Cognitive evaluation of patients with </w:t>
            </w:r>
            <w:r w:rsidR="002B5507">
              <w:rPr>
                <w:rFonts w:cs="Times New Roman"/>
                <w:sz w:val="22"/>
                <w:szCs w:val="20"/>
                <w:lang w:val="en-US"/>
              </w:rPr>
              <w:t>Parkinson’s</w:t>
            </w:r>
            <w:r>
              <w:rPr>
                <w:rFonts w:cs="Times New Roman"/>
                <w:sz w:val="22"/>
                <w:szCs w:val="20"/>
                <w:lang w:val="en-US"/>
              </w:rPr>
              <w:t xml:space="preserve"> Disease</w:t>
            </w:r>
            <w:r w:rsidR="002B5507">
              <w:rPr>
                <w:rFonts w:cs="Times New Roman"/>
                <w:sz w:val="22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val="en-US"/>
              </w:rPr>
              <w:t>(</w:t>
            </w:r>
            <w:r w:rsidR="002B5507">
              <w:rPr>
                <w:rFonts w:cs="Times New Roman"/>
                <w:sz w:val="22"/>
                <w:szCs w:val="20"/>
                <w:lang w:val="en-US"/>
              </w:rPr>
              <w:t xml:space="preserve">12 </w:t>
            </w:r>
            <w:r>
              <w:rPr>
                <w:rFonts w:cs="Times New Roman"/>
                <w:sz w:val="22"/>
                <w:szCs w:val="20"/>
                <w:lang w:val="en-US"/>
              </w:rPr>
              <w:t>patients</w:t>
            </w:r>
            <w:r w:rsidR="002B5507">
              <w:rPr>
                <w:rFonts w:cs="Times New Roman"/>
                <w:sz w:val="22"/>
                <w:szCs w:val="20"/>
                <w:lang w:val="en-US"/>
              </w:rPr>
              <w:t>, 4</w:t>
            </w:r>
            <w:r>
              <w:rPr>
                <w:rFonts w:cs="Times New Roman"/>
                <w:sz w:val="22"/>
                <w:szCs w:val="20"/>
                <w:lang w:val="en-US"/>
              </w:rPr>
              <w:t>hs each)</w:t>
            </w:r>
          </w:p>
        </w:tc>
        <w:tc>
          <w:tcPr>
            <w:tcW w:w="1383" w:type="dxa"/>
            <w:vAlign w:val="center"/>
          </w:tcPr>
          <w:p w:rsidR="000E4505" w:rsidRPr="000E450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2011-2013</w:t>
            </w:r>
          </w:p>
        </w:tc>
      </w:tr>
    </w:tbl>
    <w:p w:rsidR="00DB36B5" w:rsidRDefault="00DB36B5" w:rsidP="002F6990">
      <w:pPr>
        <w:autoSpaceDE w:val="0"/>
        <w:autoSpaceDN w:val="0"/>
        <w:adjustRightInd w:val="0"/>
        <w:rPr>
          <w:rFonts w:cs="Times New Roman"/>
          <w:b/>
          <w:bCs/>
          <w:iCs/>
          <w:sz w:val="28"/>
          <w:szCs w:val="24"/>
          <w:lang w:val="en-US"/>
        </w:rPr>
      </w:pPr>
    </w:p>
    <w:p w:rsidR="00B82448" w:rsidRPr="00C91518" w:rsidRDefault="002F6990" w:rsidP="00C91518">
      <w:pPr>
        <w:autoSpaceDE w:val="0"/>
        <w:autoSpaceDN w:val="0"/>
        <w:adjustRightInd w:val="0"/>
        <w:rPr>
          <w:rFonts w:cs="Times New Roman"/>
          <w:b/>
          <w:bCs/>
          <w:iCs/>
          <w:smallCaps/>
          <w:sz w:val="28"/>
          <w:szCs w:val="24"/>
          <w:lang w:val="en-US"/>
        </w:rPr>
      </w:pPr>
      <w:r w:rsidRPr="00C91518">
        <w:rPr>
          <w:rFonts w:cs="Times New Roman"/>
          <w:b/>
          <w:bCs/>
          <w:iCs/>
          <w:smallCaps/>
          <w:sz w:val="28"/>
          <w:szCs w:val="24"/>
          <w:lang w:val="en-US"/>
        </w:rPr>
        <w:t>Departmental Service</w:t>
      </w:r>
    </w:p>
    <w:p w:rsidR="00B82448" w:rsidRPr="00C802E3" w:rsidRDefault="00B82448" w:rsidP="00C91518">
      <w:pPr>
        <w:autoSpaceDE w:val="0"/>
        <w:autoSpaceDN w:val="0"/>
        <w:adjustRightInd w:val="0"/>
        <w:rPr>
          <w:rFonts w:cs="Times New Roman"/>
          <w:b/>
          <w:bCs/>
          <w:iCs/>
          <w:sz w:val="20"/>
          <w:szCs w:val="20"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2F6990" w:rsidTr="00CB675C">
        <w:tc>
          <w:tcPr>
            <w:tcW w:w="7797" w:type="dxa"/>
          </w:tcPr>
          <w:p w:rsidR="002F6990" w:rsidRPr="00DB36B5" w:rsidRDefault="002F6990" w:rsidP="00DB36B5">
            <w:pPr>
              <w:rPr>
                <w:rFonts w:cs="Times New Roman"/>
                <w:sz w:val="22"/>
                <w:lang w:val="en-US"/>
              </w:rPr>
            </w:pPr>
            <w:r w:rsidRPr="00DB36B5">
              <w:rPr>
                <w:rFonts w:cs="Times New Roman"/>
                <w:sz w:val="22"/>
                <w:lang w:val="en-US"/>
              </w:rPr>
              <w:t xml:space="preserve">Representative </w:t>
            </w:r>
          </w:p>
        </w:tc>
        <w:tc>
          <w:tcPr>
            <w:tcW w:w="1383" w:type="dxa"/>
            <w:vAlign w:val="center"/>
          </w:tcPr>
          <w:p w:rsidR="002F6990" w:rsidRPr="00920B52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2F6990" w:rsidTr="00CB675C">
        <w:tc>
          <w:tcPr>
            <w:tcW w:w="7797" w:type="dxa"/>
          </w:tcPr>
          <w:p w:rsidR="002F6990" w:rsidRPr="00DB36B5" w:rsidRDefault="002F6990" w:rsidP="00DB36B5">
            <w:pPr>
              <w:ind w:left="1418" w:hanging="1100"/>
              <w:jc w:val="both"/>
              <w:rPr>
                <w:rFonts w:cs="Times New Roman"/>
                <w:sz w:val="22"/>
                <w:lang w:val="en-US"/>
              </w:rPr>
            </w:pPr>
            <w:r w:rsidRPr="00DB36B5">
              <w:rPr>
                <w:sz w:val="22"/>
                <w:lang w:val="en-US"/>
              </w:rPr>
              <w:t xml:space="preserve">of the Ph.D. students and the post-doctoral fellows of the </w:t>
            </w:r>
            <w:r w:rsidR="00DB36B5" w:rsidRPr="00DB36B5">
              <w:rPr>
                <w:sz w:val="22"/>
                <w:lang w:val="en-US"/>
              </w:rPr>
              <w:t>Institute</w:t>
            </w:r>
            <w:r w:rsidRPr="00DB36B5">
              <w:rPr>
                <w:sz w:val="22"/>
                <w:lang w:val="en-US"/>
              </w:rPr>
              <w:t xml:space="preserve"> of Psychology</w:t>
            </w:r>
          </w:p>
        </w:tc>
        <w:tc>
          <w:tcPr>
            <w:tcW w:w="1383" w:type="dxa"/>
            <w:vAlign w:val="center"/>
          </w:tcPr>
          <w:p w:rsidR="002F6990" w:rsidRPr="002F6990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2011-2012</w:t>
            </w: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DB36B5">
            <w:pPr>
              <w:ind w:left="2124" w:hanging="1806"/>
              <w:jc w:val="both"/>
              <w:rPr>
                <w:rFonts w:cs="Times New Roman"/>
                <w:sz w:val="22"/>
                <w:lang w:val="en-US"/>
              </w:rPr>
            </w:pPr>
            <w:proofErr w:type="gramStart"/>
            <w:r w:rsidRPr="00DB36B5">
              <w:rPr>
                <w:sz w:val="22"/>
                <w:lang w:val="en-US"/>
              </w:rPr>
              <w:t>at</w:t>
            </w:r>
            <w:proofErr w:type="gramEnd"/>
            <w:r w:rsidRPr="00DB36B5">
              <w:rPr>
                <w:sz w:val="22"/>
                <w:lang w:val="en-US"/>
              </w:rPr>
              <w:t xml:space="preserve"> the Human </w:t>
            </w:r>
            <w:r w:rsidR="002F6990" w:rsidRPr="00DB36B5">
              <w:rPr>
                <w:sz w:val="22"/>
                <w:lang w:val="en-US"/>
              </w:rPr>
              <w:t xml:space="preserve">Science Sector, </w:t>
            </w:r>
            <w:r>
              <w:rPr>
                <w:sz w:val="22"/>
                <w:lang w:val="en-US"/>
              </w:rPr>
              <w:t>U.C.L</w:t>
            </w:r>
            <w:r w:rsidR="002F6990" w:rsidRPr="00DB36B5">
              <w:rPr>
                <w:sz w:val="22"/>
                <w:lang w:val="en-US"/>
              </w:rPr>
              <w:t xml:space="preserve">.  </w:t>
            </w:r>
            <w:r w:rsidRPr="00DB36B5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>P</w:t>
            </w:r>
            <w:r w:rsidRPr="00DB36B5">
              <w:rPr>
                <w:sz w:val="22"/>
                <w:lang w:val="en-US"/>
              </w:rPr>
              <w:t>eer-elected position)</w:t>
            </w: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2F6990" w:rsidP="00F85EB0">
            <w:pPr>
              <w:ind w:left="2124" w:hanging="1806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2F6990" w:rsidTr="00CB675C">
        <w:tc>
          <w:tcPr>
            <w:tcW w:w="7797" w:type="dxa"/>
          </w:tcPr>
          <w:p w:rsidR="002F6990" w:rsidRPr="00DB36B5" w:rsidRDefault="002F6990" w:rsidP="002F6990">
            <w:pPr>
              <w:ind w:left="2124" w:hanging="1806"/>
              <w:rPr>
                <w:rFonts w:cs="Times New Roman"/>
                <w:sz w:val="22"/>
                <w:lang w:val="en-US"/>
              </w:rPr>
            </w:pPr>
            <w:r w:rsidRPr="00DB36B5">
              <w:rPr>
                <w:sz w:val="22"/>
                <w:lang w:val="en-US"/>
              </w:rPr>
              <w:t xml:space="preserve">of the Ph.D. students and the post-doctoral fellows of </w:t>
            </w:r>
            <w:r w:rsidR="00DB36B5" w:rsidRPr="00DB36B5">
              <w:rPr>
                <w:sz w:val="22"/>
                <w:lang w:val="en-US"/>
              </w:rPr>
              <w:t xml:space="preserve">the Institute of </w:t>
            </w:r>
            <w:r w:rsidRPr="00DB36B5">
              <w:rPr>
                <w:sz w:val="22"/>
                <w:lang w:val="en-US"/>
              </w:rPr>
              <w:t>Psychology</w:t>
            </w:r>
          </w:p>
        </w:tc>
        <w:tc>
          <w:tcPr>
            <w:tcW w:w="1383" w:type="dxa"/>
            <w:vAlign w:val="center"/>
          </w:tcPr>
          <w:p w:rsidR="002F6990" w:rsidRPr="002F6990" w:rsidRDefault="00DB36B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2011-2012</w:t>
            </w: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DB36B5">
            <w:pPr>
              <w:ind w:left="2124" w:hanging="1806"/>
              <w:rPr>
                <w:sz w:val="22"/>
                <w:lang w:val="en-US"/>
              </w:rPr>
            </w:pPr>
            <w:proofErr w:type="gramStart"/>
            <w:r w:rsidRPr="00DB36B5">
              <w:rPr>
                <w:sz w:val="22"/>
                <w:lang w:val="en-US"/>
              </w:rPr>
              <w:t>at</w:t>
            </w:r>
            <w:proofErr w:type="gramEnd"/>
            <w:r w:rsidRPr="00DB36B5">
              <w:rPr>
                <w:sz w:val="22"/>
                <w:lang w:val="en-US"/>
              </w:rPr>
              <w:t xml:space="preserve"> the </w:t>
            </w:r>
            <w:r w:rsidR="002F6990" w:rsidRPr="00DB36B5">
              <w:rPr>
                <w:sz w:val="22"/>
                <w:lang w:val="en-US"/>
              </w:rPr>
              <w:t xml:space="preserve">Belgian </w:t>
            </w:r>
            <w:r w:rsidRPr="00DB36B5">
              <w:rPr>
                <w:sz w:val="22"/>
                <w:lang w:val="en-US"/>
              </w:rPr>
              <w:t xml:space="preserve">Psychology </w:t>
            </w:r>
            <w:r w:rsidR="002F6990" w:rsidRPr="00DB36B5">
              <w:rPr>
                <w:sz w:val="22"/>
                <w:lang w:val="en-US"/>
              </w:rPr>
              <w:t xml:space="preserve">Doctoral </w:t>
            </w:r>
            <w:r w:rsidRPr="00DB36B5">
              <w:rPr>
                <w:sz w:val="22"/>
                <w:lang w:val="en-US"/>
              </w:rPr>
              <w:t>School. (</w:t>
            </w:r>
            <w:r>
              <w:rPr>
                <w:sz w:val="22"/>
                <w:lang w:val="en-US"/>
              </w:rPr>
              <w:t>P</w:t>
            </w:r>
            <w:r w:rsidRPr="00DB36B5">
              <w:rPr>
                <w:sz w:val="22"/>
                <w:lang w:val="en-US"/>
              </w:rPr>
              <w:t>eer-elected position)</w:t>
            </w: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2F6990" w:rsidP="00F85EB0">
            <w:pPr>
              <w:ind w:left="2124" w:hanging="1806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F85EB0">
            <w:pPr>
              <w:autoSpaceDE w:val="0"/>
              <w:autoSpaceDN w:val="0"/>
              <w:adjustRightInd w:val="0"/>
              <w:ind w:left="2124" w:hanging="1806"/>
              <w:jc w:val="both"/>
              <w:rPr>
                <w:rFonts w:cs="Times New Roman"/>
                <w:sz w:val="22"/>
                <w:lang w:val="en-US"/>
              </w:rPr>
            </w:pPr>
            <w:r w:rsidRPr="00DB36B5">
              <w:rPr>
                <w:sz w:val="22"/>
                <w:lang w:val="en-US"/>
              </w:rPr>
              <w:t>of the Ph.D. students and the post-doctoral fellows of the Institute of Psychology</w:t>
            </w:r>
          </w:p>
        </w:tc>
        <w:tc>
          <w:tcPr>
            <w:tcW w:w="1383" w:type="dxa"/>
            <w:vAlign w:val="center"/>
          </w:tcPr>
          <w:p w:rsidR="002F6990" w:rsidRPr="00DB36B5" w:rsidRDefault="00DB36B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DB36B5">
              <w:rPr>
                <w:i/>
                <w:sz w:val="20"/>
                <w:szCs w:val="20"/>
                <w:lang w:val="en-US"/>
              </w:rPr>
              <w:t>2009 – 2012</w:t>
            </w:r>
          </w:p>
        </w:tc>
      </w:tr>
      <w:tr w:rsidR="002F6990" w:rsidRPr="00687D79" w:rsidTr="00CB675C">
        <w:tc>
          <w:tcPr>
            <w:tcW w:w="7797" w:type="dxa"/>
          </w:tcPr>
          <w:p w:rsidR="002F6990" w:rsidRPr="00DB36B5" w:rsidRDefault="00DB36B5" w:rsidP="00DB36B5">
            <w:pPr>
              <w:ind w:firstLine="318"/>
              <w:rPr>
                <w:rFonts w:eastAsia="Calibri" w:cs="Times New Roman"/>
                <w:bCs/>
                <w:sz w:val="22"/>
                <w:lang w:val="en-US"/>
              </w:rPr>
            </w:pPr>
            <w:r w:rsidRPr="00DB36B5">
              <w:rPr>
                <w:rFonts w:eastAsia="Calibri" w:cs="Times New Roman"/>
                <w:bCs/>
                <w:sz w:val="22"/>
                <w:lang w:val="en-US"/>
              </w:rPr>
              <w:t xml:space="preserve">at the Institute </w:t>
            </w:r>
            <w:r w:rsidRPr="00DB36B5">
              <w:rPr>
                <w:sz w:val="22"/>
                <w:lang w:val="en-US"/>
              </w:rPr>
              <w:t>of Psychology, U.C.L. (</w:t>
            </w:r>
            <w:r>
              <w:rPr>
                <w:sz w:val="22"/>
                <w:lang w:val="en-US"/>
              </w:rPr>
              <w:t>P</w:t>
            </w:r>
            <w:r w:rsidRPr="00DB36B5">
              <w:rPr>
                <w:sz w:val="22"/>
                <w:lang w:val="en-US"/>
              </w:rPr>
              <w:t>eer-elected position)</w:t>
            </w: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687D79" w:rsidTr="00CB675C">
        <w:tc>
          <w:tcPr>
            <w:tcW w:w="7797" w:type="dxa"/>
          </w:tcPr>
          <w:p w:rsidR="002F6990" w:rsidRPr="00DB36B5" w:rsidRDefault="002F6990" w:rsidP="00F85EB0">
            <w:pPr>
              <w:jc w:val="both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DB36B5">
            <w:pPr>
              <w:tabs>
                <w:tab w:val="left" w:pos="6153"/>
              </w:tabs>
              <w:jc w:val="both"/>
              <w:rPr>
                <w:rFonts w:cs="Times New Roman"/>
                <w:sz w:val="22"/>
                <w:lang w:val="en-US"/>
              </w:rPr>
            </w:pPr>
            <w:r w:rsidRPr="00DB36B5">
              <w:rPr>
                <w:rFonts w:cs="Times New Roman"/>
                <w:sz w:val="22"/>
                <w:lang w:val="en-US"/>
              </w:rPr>
              <w:t>Member</w:t>
            </w: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DB36B5">
            <w:pPr>
              <w:tabs>
                <w:tab w:val="left" w:pos="1418"/>
              </w:tabs>
              <w:ind w:left="2124" w:hanging="1806"/>
              <w:rPr>
                <w:rFonts w:cs="Times New Roman"/>
                <w:sz w:val="22"/>
                <w:lang w:val="en-US"/>
              </w:rPr>
            </w:pPr>
            <w:r w:rsidRPr="00DB36B5">
              <w:rPr>
                <w:sz w:val="22"/>
                <w:lang w:val="en-US"/>
              </w:rPr>
              <w:t>of the Doctoral Committee of the Institute of Psychological Sciences</w:t>
            </w:r>
          </w:p>
        </w:tc>
        <w:tc>
          <w:tcPr>
            <w:tcW w:w="1383" w:type="dxa"/>
            <w:vAlign w:val="center"/>
          </w:tcPr>
          <w:p w:rsidR="002F6990" w:rsidRPr="00DB36B5" w:rsidRDefault="00DB36B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2010-2012</w:t>
            </w: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DB36B5">
            <w:pPr>
              <w:tabs>
                <w:tab w:val="left" w:pos="1418"/>
              </w:tabs>
              <w:ind w:left="2124" w:hanging="1806"/>
              <w:rPr>
                <w:rFonts w:cs="Times New Roman"/>
                <w:sz w:val="22"/>
                <w:lang w:val="fr-BE"/>
              </w:rPr>
            </w:pPr>
            <w:r w:rsidRPr="00DB36B5">
              <w:rPr>
                <w:sz w:val="22"/>
                <w:lang w:val="fr-BE"/>
              </w:rPr>
              <w:t>Université catholique de Louvain.  (Peer-</w:t>
            </w:r>
            <w:proofErr w:type="spellStart"/>
            <w:r w:rsidRPr="00DB36B5">
              <w:rPr>
                <w:sz w:val="22"/>
                <w:lang w:val="fr-BE"/>
              </w:rPr>
              <w:t>elected</w:t>
            </w:r>
            <w:proofErr w:type="spellEnd"/>
            <w:r w:rsidRPr="00DB36B5">
              <w:rPr>
                <w:sz w:val="22"/>
                <w:lang w:val="fr-BE"/>
              </w:rPr>
              <w:t xml:space="preserve"> position)</w:t>
            </w: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2F6990" w:rsidP="00F85EB0">
            <w:pPr>
              <w:jc w:val="both"/>
              <w:rPr>
                <w:rFonts w:cs="Times New Roman"/>
                <w:sz w:val="22"/>
                <w:lang w:val="fr-BE"/>
              </w:rPr>
            </w:pP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F85EB0">
            <w:pPr>
              <w:ind w:firstLine="318"/>
              <w:jc w:val="both"/>
              <w:rPr>
                <w:rFonts w:cs="Times New Roman"/>
                <w:sz w:val="22"/>
                <w:lang w:val="en-US"/>
              </w:rPr>
            </w:pPr>
            <w:r w:rsidRPr="00DB36B5">
              <w:rPr>
                <w:sz w:val="22"/>
                <w:lang w:val="en-US"/>
              </w:rPr>
              <w:t>of the Council of the Institute of Psychological Sciences</w:t>
            </w:r>
          </w:p>
        </w:tc>
        <w:tc>
          <w:tcPr>
            <w:tcW w:w="1383" w:type="dxa"/>
            <w:vAlign w:val="center"/>
          </w:tcPr>
          <w:p w:rsidR="002F6990" w:rsidRPr="00DB36B5" w:rsidRDefault="00DB36B5" w:rsidP="00F85EB0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2009-2012</w:t>
            </w:r>
          </w:p>
        </w:tc>
      </w:tr>
      <w:tr w:rsidR="002F6990" w:rsidRPr="00DB36B5" w:rsidTr="00CB675C">
        <w:tc>
          <w:tcPr>
            <w:tcW w:w="7797" w:type="dxa"/>
          </w:tcPr>
          <w:p w:rsidR="002F6990" w:rsidRPr="00DB36B5" w:rsidRDefault="00DB36B5" w:rsidP="00DB36B5">
            <w:pPr>
              <w:ind w:firstLine="318"/>
              <w:jc w:val="both"/>
              <w:rPr>
                <w:rFonts w:cs="Times New Roman"/>
                <w:sz w:val="22"/>
                <w:lang w:val="fr-BE"/>
              </w:rPr>
            </w:pPr>
            <w:r w:rsidRPr="00DB36B5">
              <w:rPr>
                <w:sz w:val="22"/>
                <w:lang w:val="fr-BE"/>
              </w:rPr>
              <w:t>Université catholique de Louvain.  (</w:t>
            </w:r>
            <w:r>
              <w:rPr>
                <w:sz w:val="22"/>
                <w:lang w:val="fr-BE"/>
              </w:rPr>
              <w:t>P</w:t>
            </w:r>
            <w:r w:rsidRPr="00DB36B5">
              <w:rPr>
                <w:sz w:val="22"/>
                <w:lang w:val="fr-BE"/>
              </w:rPr>
              <w:t>eer-</w:t>
            </w:r>
            <w:proofErr w:type="spellStart"/>
            <w:r w:rsidRPr="00DB36B5">
              <w:rPr>
                <w:sz w:val="22"/>
                <w:lang w:val="fr-BE"/>
              </w:rPr>
              <w:t>elected</w:t>
            </w:r>
            <w:proofErr w:type="spellEnd"/>
            <w:r w:rsidRPr="00DB36B5">
              <w:rPr>
                <w:sz w:val="22"/>
                <w:lang w:val="fr-BE"/>
              </w:rPr>
              <w:t xml:space="preserve"> position)</w:t>
            </w:r>
          </w:p>
        </w:tc>
        <w:tc>
          <w:tcPr>
            <w:tcW w:w="1383" w:type="dxa"/>
            <w:vAlign w:val="center"/>
          </w:tcPr>
          <w:p w:rsidR="002F6990" w:rsidRPr="00DB36B5" w:rsidRDefault="002F6990" w:rsidP="00F85EB0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</w:tbl>
    <w:p w:rsidR="00522DEE" w:rsidRPr="00DB36B5" w:rsidRDefault="00522DEE" w:rsidP="00D917E0">
      <w:pPr>
        <w:autoSpaceDE w:val="0"/>
        <w:autoSpaceDN w:val="0"/>
        <w:adjustRightInd w:val="0"/>
        <w:rPr>
          <w:sz w:val="20"/>
          <w:szCs w:val="20"/>
          <w:lang w:val="fr-BE"/>
        </w:rPr>
      </w:pPr>
    </w:p>
    <w:p w:rsidR="00B4098D" w:rsidRPr="00C91518" w:rsidRDefault="00B4098D" w:rsidP="00C91518">
      <w:pPr>
        <w:autoSpaceDE w:val="0"/>
        <w:autoSpaceDN w:val="0"/>
        <w:adjustRightInd w:val="0"/>
        <w:rPr>
          <w:rFonts w:cs="Times New Roman"/>
          <w:b/>
          <w:bCs/>
          <w:iCs/>
          <w:smallCaps/>
          <w:sz w:val="28"/>
          <w:szCs w:val="24"/>
          <w:lang w:val="en-US"/>
        </w:rPr>
      </w:pPr>
      <w:r w:rsidRPr="00C91518">
        <w:rPr>
          <w:rFonts w:cs="Times New Roman"/>
          <w:b/>
          <w:bCs/>
          <w:iCs/>
          <w:smallCaps/>
          <w:sz w:val="28"/>
          <w:szCs w:val="24"/>
          <w:lang w:val="en-US"/>
        </w:rPr>
        <w:t>Service to the community</w:t>
      </w:r>
    </w:p>
    <w:p w:rsidR="00522DEE" w:rsidRPr="00C802E3" w:rsidRDefault="00522DEE" w:rsidP="00C91518">
      <w:pPr>
        <w:autoSpaceDE w:val="0"/>
        <w:autoSpaceDN w:val="0"/>
        <w:adjustRightInd w:val="0"/>
        <w:rPr>
          <w:rFonts w:cs="Times New Roman"/>
          <w:b/>
          <w:bCs/>
          <w:iCs/>
          <w:sz w:val="20"/>
          <w:szCs w:val="20"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1D400A" w:rsidTr="00EF1332">
        <w:tc>
          <w:tcPr>
            <w:tcW w:w="7797" w:type="dxa"/>
          </w:tcPr>
          <w:p w:rsidR="00A61CFC" w:rsidRDefault="000D1206" w:rsidP="008C1C35">
            <w:pPr>
              <w:rPr>
                <w:rFonts w:cs="Times New Roman"/>
                <w:bCs/>
                <w:iCs/>
                <w:sz w:val="22"/>
                <w:lang w:val="en-US"/>
              </w:rPr>
            </w:pPr>
            <w:r>
              <w:rPr>
                <w:rFonts w:cs="Times New Roman"/>
                <w:bCs/>
                <w:iCs/>
                <w:sz w:val="22"/>
                <w:lang w:val="en-US"/>
              </w:rPr>
              <w:t>F</w:t>
            </w:r>
            <w:r w:rsidR="001D400A" w:rsidRPr="001D400A">
              <w:rPr>
                <w:rFonts w:cs="Times New Roman"/>
                <w:bCs/>
                <w:iCs/>
                <w:sz w:val="22"/>
                <w:lang w:val="en-US"/>
              </w:rPr>
              <w:t xml:space="preserve">ree-access </w:t>
            </w:r>
            <w:r w:rsidR="001D400A">
              <w:rPr>
                <w:rFonts w:cs="Times New Roman"/>
                <w:bCs/>
                <w:iCs/>
                <w:sz w:val="22"/>
                <w:lang w:val="en-US"/>
              </w:rPr>
              <w:t>b</w:t>
            </w:r>
            <w:r w:rsidR="001D400A" w:rsidRPr="001D400A">
              <w:rPr>
                <w:rFonts w:cs="Times New Roman"/>
                <w:bCs/>
                <w:iCs/>
                <w:sz w:val="22"/>
                <w:lang w:val="en-US"/>
              </w:rPr>
              <w:t xml:space="preserve">attery for the diagnosis of lexical and conceptual deficits in aphasia. </w:t>
            </w:r>
          </w:p>
          <w:p w:rsidR="001D400A" w:rsidRPr="001D400A" w:rsidRDefault="001D400A" w:rsidP="008C1C35">
            <w:pPr>
              <w:rPr>
                <w:rFonts w:cs="Times New Roman"/>
                <w:sz w:val="22"/>
                <w:lang w:val="en-US"/>
              </w:rPr>
            </w:pPr>
            <w:r w:rsidRPr="001D400A">
              <w:rPr>
                <w:rFonts w:cs="Times New Roman"/>
                <w:bCs/>
                <w:iCs/>
                <w:sz w:val="22"/>
                <w:lang w:val="en-US"/>
              </w:rPr>
              <w:t>(</w:t>
            </w:r>
            <w:r>
              <w:rPr>
                <w:rFonts w:cs="Times New Roman"/>
                <w:bCs/>
                <w:iCs/>
                <w:sz w:val="22"/>
                <w:lang w:val="en-US"/>
              </w:rPr>
              <w:t xml:space="preserve">± </w:t>
            </w:r>
            <w:r w:rsidRPr="001D400A">
              <w:rPr>
                <w:rFonts w:cs="Times New Roman"/>
                <w:bCs/>
                <w:iCs/>
                <w:sz w:val="22"/>
                <w:lang w:val="en-US"/>
              </w:rPr>
              <w:t>90 users in Belgium, France and Switzerland.)</w:t>
            </w:r>
          </w:p>
        </w:tc>
        <w:tc>
          <w:tcPr>
            <w:tcW w:w="1383" w:type="dxa"/>
          </w:tcPr>
          <w:p w:rsidR="001D400A" w:rsidRPr="001D400A" w:rsidRDefault="001D400A" w:rsidP="008C1C3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1D400A">
              <w:rPr>
                <w:rFonts w:cs="Times New Roman"/>
                <w:i/>
                <w:sz w:val="20"/>
                <w:szCs w:val="20"/>
                <w:lang w:val="en-US"/>
              </w:rPr>
              <w:t>2010- present</w:t>
            </w:r>
          </w:p>
        </w:tc>
      </w:tr>
      <w:tr w:rsidR="001D400A" w:rsidTr="00EF1332">
        <w:tc>
          <w:tcPr>
            <w:tcW w:w="7797" w:type="dxa"/>
          </w:tcPr>
          <w:p w:rsidR="001D400A" w:rsidRPr="001D400A" w:rsidRDefault="001D400A" w:rsidP="008C1C35">
            <w:pPr>
              <w:ind w:left="318"/>
              <w:rPr>
                <w:rFonts w:cs="Times New Roman"/>
                <w:bCs/>
                <w:iCs/>
                <w:sz w:val="22"/>
                <w:lang w:val="en-US"/>
              </w:rPr>
            </w:pPr>
          </w:p>
        </w:tc>
        <w:tc>
          <w:tcPr>
            <w:tcW w:w="1383" w:type="dxa"/>
          </w:tcPr>
          <w:p w:rsidR="001D400A" w:rsidRPr="001D400A" w:rsidRDefault="001D400A" w:rsidP="008C1C3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1D400A" w:rsidRPr="00DB36B5" w:rsidTr="00EF1332">
        <w:tc>
          <w:tcPr>
            <w:tcW w:w="7797" w:type="dxa"/>
          </w:tcPr>
          <w:p w:rsidR="001D400A" w:rsidRPr="001D400A" w:rsidRDefault="001D400A" w:rsidP="008C1C35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bCs/>
                <w:iCs/>
                <w:sz w:val="22"/>
                <w:lang w:val="en-US"/>
              </w:rPr>
              <w:t>O</w:t>
            </w:r>
            <w:r w:rsidRPr="001D400A">
              <w:rPr>
                <w:rFonts w:cs="Times New Roman"/>
                <w:bCs/>
                <w:iCs/>
                <w:sz w:val="22"/>
                <w:lang w:val="en-US"/>
              </w:rPr>
              <w:t>rgani</w:t>
            </w:r>
            <w:r>
              <w:rPr>
                <w:rFonts w:cs="Times New Roman"/>
                <w:bCs/>
                <w:iCs/>
                <w:sz w:val="22"/>
                <w:lang w:val="en-US"/>
              </w:rPr>
              <w:t xml:space="preserve">sation/animation of </w:t>
            </w:r>
            <w:r w:rsidRPr="001D400A">
              <w:rPr>
                <w:rFonts w:cs="Times New Roman"/>
                <w:bCs/>
                <w:iCs/>
                <w:sz w:val="22"/>
                <w:lang w:val="en-US"/>
              </w:rPr>
              <w:t>activities for adults with mental disabilities. (1/week)</w:t>
            </w:r>
          </w:p>
        </w:tc>
        <w:tc>
          <w:tcPr>
            <w:tcW w:w="1383" w:type="dxa"/>
          </w:tcPr>
          <w:p w:rsidR="001D400A" w:rsidRPr="001D400A" w:rsidRDefault="001D400A" w:rsidP="008C1C3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1D400A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2007 – 2008</w:t>
            </w:r>
          </w:p>
        </w:tc>
      </w:tr>
      <w:tr w:rsidR="001D400A" w:rsidRPr="00DB36B5" w:rsidTr="00EF1332">
        <w:tc>
          <w:tcPr>
            <w:tcW w:w="7797" w:type="dxa"/>
          </w:tcPr>
          <w:p w:rsidR="001D400A" w:rsidRPr="001D400A" w:rsidRDefault="001D400A" w:rsidP="008C1C35">
            <w:pPr>
              <w:rPr>
                <w:rFonts w:cs="Times New Roman"/>
                <w:sz w:val="22"/>
                <w:lang w:val="fr-BE"/>
              </w:rPr>
            </w:pPr>
            <w:r w:rsidRPr="001D400A">
              <w:rPr>
                <w:rFonts w:cs="Times New Roman"/>
                <w:bCs/>
                <w:iCs/>
                <w:sz w:val="22"/>
                <w:lang w:val="fr-BE"/>
              </w:rPr>
              <w:t>La Cognée, Louvain-la-Neuve, Belgium</w:t>
            </w:r>
          </w:p>
        </w:tc>
        <w:tc>
          <w:tcPr>
            <w:tcW w:w="1383" w:type="dxa"/>
          </w:tcPr>
          <w:p w:rsidR="001D400A" w:rsidRPr="001D400A" w:rsidRDefault="001D400A" w:rsidP="008C1C35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1D400A" w:rsidRPr="000D1206" w:rsidTr="00EF1332">
        <w:tc>
          <w:tcPr>
            <w:tcW w:w="7797" w:type="dxa"/>
          </w:tcPr>
          <w:p w:rsidR="001D400A" w:rsidRPr="000D1206" w:rsidRDefault="001D400A" w:rsidP="008C1C35">
            <w:pPr>
              <w:ind w:left="2124" w:hanging="1806"/>
              <w:rPr>
                <w:rFonts w:cs="Times New Roman"/>
                <w:sz w:val="22"/>
                <w:lang w:val="fr-BE"/>
              </w:rPr>
            </w:pPr>
          </w:p>
        </w:tc>
        <w:tc>
          <w:tcPr>
            <w:tcW w:w="1383" w:type="dxa"/>
          </w:tcPr>
          <w:p w:rsidR="001D400A" w:rsidRPr="000D1206" w:rsidRDefault="001D400A" w:rsidP="008C1C35">
            <w:pPr>
              <w:rPr>
                <w:rFonts w:cs="Times New Roman"/>
                <w:i/>
                <w:sz w:val="20"/>
                <w:szCs w:val="20"/>
                <w:lang w:val="fr-BE"/>
              </w:rPr>
            </w:pPr>
          </w:p>
        </w:tc>
      </w:tr>
      <w:tr w:rsidR="001D400A" w:rsidRPr="00DB36B5" w:rsidTr="00EF1332">
        <w:tc>
          <w:tcPr>
            <w:tcW w:w="7797" w:type="dxa"/>
          </w:tcPr>
          <w:p w:rsidR="001D400A" w:rsidRPr="00DB36B5" w:rsidRDefault="001D400A" w:rsidP="00EF133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Organisation/animation </w:t>
            </w:r>
            <w:r w:rsidRPr="001D400A">
              <w:rPr>
                <w:sz w:val="22"/>
                <w:lang w:val="en-US"/>
              </w:rPr>
              <w:t xml:space="preserve">of </w:t>
            </w:r>
            <w:r>
              <w:rPr>
                <w:rFonts w:cs="Times New Roman"/>
                <w:bCs/>
                <w:iCs/>
                <w:sz w:val="22"/>
                <w:lang w:val="en-US"/>
              </w:rPr>
              <w:t xml:space="preserve">activities (2/year) and holiday camps (1/year) for </w:t>
            </w:r>
            <w:r w:rsidRPr="001D400A">
              <w:rPr>
                <w:rFonts w:cs="Times New Roman"/>
                <w:bCs/>
                <w:iCs/>
                <w:sz w:val="22"/>
                <w:lang w:val="en-US"/>
              </w:rPr>
              <w:t xml:space="preserve">children with mental disabilities. </w:t>
            </w:r>
            <w:r w:rsidR="00EF1332" w:rsidRPr="001D400A">
              <w:rPr>
                <w:rFonts w:cs="Times New Roman"/>
                <w:bCs/>
                <w:iCs/>
                <w:sz w:val="22"/>
                <w:lang w:val="en-US"/>
              </w:rPr>
              <w:t>J&amp;S, Liège, Belgium.</w:t>
            </w:r>
          </w:p>
        </w:tc>
        <w:tc>
          <w:tcPr>
            <w:tcW w:w="1383" w:type="dxa"/>
          </w:tcPr>
          <w:p w:rsidR="001D400A" w:rsidRPr="001D400A" w:rsidRDefault="001D400A" w:rsidP="008C1C3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1D400A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2003 – 2008</w:t>
            </w:r>
          </w:p>
        </w:tc>
      </w:tr>
    </w:tbl>
    <w:p w:rsidR="00D917E0" w:rsidRPr="00530527" w:rsidRDefault="00D917E0" w:rsidP="00EF1332">
      <w:pPr>
        <w:autoSpaceDE w:val="0"/>
        <w:autoSpaceDN w:val="0"/>
        <w:adjustRightInd w:val="0"/>
        <w:rPr>
          <w:rFonts w:cs="Times New Roman"/>
          <w:b/>
          <w:bCs/>
          <w:iCs/>
          <w:sz w:val="20"/>
          <w:szCs w:val="20"/>
          <w:lang w:val="en-US"/>
        </w:rPr>
      </w:pPr>
    </w:p>
    <w:sectPr w:rsidR="00D917E0" w:rsidRPr="00530527" w:rsidSect="003C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02" w:rsidRDefault="00961002" w:rsidP="00B42545">
      <w:r>
        <w:separator/>
      </w:r>
    </w:p>
  </w:endnote>
  <w:endnote w:type="continuationSeparator" w:id="0">
    <w:p w:rsidR="00961002" w:rsidRDefault="00961002" w:rsidP="00B4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02" w:rsidRDefault="00961002" w:rsidP="00B42545">
      <w:r>
        <w:separator/>
      </w:r>
    </w:p>
  </w:footnote>
  <w:footnote w:type="continuationSeparator" w:id="0">
    <w:p w:rsidR="00961002" w:rsidRDefault="00961002" w:rsidP="00B4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ED"/>
    <w:multiLevelType w:val="hybridMultilevel"/>
    <w:tmpl w:val="D0FCE3D4"/>
    <w:lvl w:ilvl="0" w:tplc="A27E69EA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BDA"/>
    <w:multiLevelType w:val="hybridMultilevel"/>
    <w:tmpl w:val="C1348680"/>
    <w:lvl w:ilvl="0" w:tplc="A35A2BDA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04E"/>
    <w:multiLevelType w:val="hybridMultilevel"/>
    <w:tmpl w:val="B1B2A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160B"/>
    <w:multiLevelType w:val="hybridMultilevel"/>
    <w:tmpl w:val="B0CC0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648D2"/>
    <w:multiLevelType w:val="hybridMultilevel"/>
    <w:tmpl w:val="B3A2F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DE9"/>
    <w:multiLevelType w:val="hybridMultilevel"/>
    <w:tmpl w:val="508C5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785C"/>
    <w:multiLevelType w:val="hybridMultilevel"/>
    <w:tmpl w:val="12882D94"/>
    <w:lvl w:ilvl="0" w:tplc="0BDC389C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927E3"/>
    <w:multiLevelType w:val="hybridMultilevel"/>
    <w:tmpl w:val="CD44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D"/>
    <w:rsid w:val="0000608F"/>
    <w:rsid w:val="00014599"/>
    <w:rsid w:val="00027B1E"/>
    <w:rsid w:val="00042521"/>
    <w:rsid w:val="00042B4B"/>
    <w:rsid w:val="00045A25"/>
    <w:rsid w:val="00056593"/>
    <w:rsid w:val="000663D9"/>
    <w:rsid w:val="00070BBE"/>
    <w:rsid w:val="00076718"/>
    <w:rsid w:val="00093574"/>
    <w:rsid w:val="0009417B"/>
    <w:rsid w:val="000A05F4"/>
    <w:rsid w:val="000A597F"/>
    <w:rsid w:val="000C0ACB"/>
    <w:rsid w:val="000D1206"/>
    <w:rsid w:val="000D194B"/>
    <w:rsid w:val="000D1AD8"/>
    <w:rsid w:val="000D38F9"/>
    <w:rsid w:val="000D6257"/>
    <w:rsid w:val="000E4505"/>
    <w:rsid w:val="000E7837"/>
    <w:rsid w:val="00120766"/>
    <w:rsid w:val="00121637"/>
    <w:rsid w:val="001333D5"/>
    <w:rsid w:val="00144620"/>
    <w:rsid w:val="001571F5"/>
    <w:rsid w:val="00157802"/>
    <w:rsid w:val="00163513"/>
    <w:rsid w:val="001651A8"/>
    <w:rsid w:val="00167A92"/>
    <w:rsid w:val="0017269F"/>
    <w:rsid w:val="00187382"/>
    <w:rsid w:val="001A424E"/>
    <w:rsid w:val="001B0450"/>
    <w:rsid w:val="001B053B"/>
    <w:rsid w:val="001B141B"/>
    <w:rsid w:val="001C577D"/>
    <w:rsid w:val="001C6F45"/>
    <w:rsid w:val="001C7639"/>
    <w:rsid w:val="001D0A86"/>
    <w:rsid w:val="001D13B6"/>
    <w:rsid w:val="001D400A"/>
    <w:rsid w:val="001E4381"/>
    <w:rsid w:val="001F0E4F"/>
    <w:rsid w:val="00203D91"/>
    <w:rsid w:val="00210432"/>
    <w:rsid w:val="00225E2E"/>
    <w:rsid w:val="00231814"/>
    <w:rsid w:val="002364AD"/>
    <w:rsid w:val="00261501"/>
    <w:rsid w:val="0026792D"/>
    <w:rsid w:val="00267CF1"/>
    <w:rsid w:val="00280073"/>
    <w:rsid w:val="002807E9"/>
    <w:rsid w:val="0028750F"/>
    <w:rsid w:val="002A2641"/>
    <w:rsid w:val="002A4483"/>
    <w:rsid w:val="002A4B2C"/>
    <w:rsid w:val="002B5507"/>
    <w:rsid w:val="002B5938"/>
    <w:rsid w:val="002C3B54"/>
    <w:rsid w:val="002C6DDD"/>
    <w:rsid w:val="002E1710"/>
    <w:rsid w:val="002E31A4"/>
    <w:rsid w:val="002E32C0"/>
    <w:rsid w:val="002F0300"/>
    <w:rsid w:val="002F283B"/>
    <w:rsid w:val="002F48F5"/>
    <w:rsid w:val="002F6990"/>
    <w:rsid w:val="00304BDC"/>
    <w:rsid w:val="003052DD"/>
    <w:rsid w:val="003059C3"/>
    <w:rsid w:val="00321A29"/>
    <w:rsid w:val="00330121"/>
    <w:rsid w:val="0033416B"/>
    <w:rsid w:val="00341DFE"/>
    <w:rsid w:val="00344B84"/>
    <w:rsid w:val="00345848"/>
    <w:rsid w:val="00355E8B"/>
    <w:rsid w:val="003613DC"/>
    <w:rsid w:val="003700B2"/>
    <w:rsid w:val="00373794"/>
    <w:rsid w:val="003770A1"/>
    <w:rsid w:val="003810B1"/>
    <w:rsid w:val="00381F6E"/>
    <w:rsid w:val="00387E97"/>
    <w:rsid w:val="00391070"/>
    <w:rsid w:val="003A012B"/>
    <w:rsid w:val="003A7BBD"/>
    <w:rsid w:val="003B7B68"/>
    <w:rsid w:val="003C1C4B"/>
    <w:rsid w:val="003D3B41"/>
    <w:rsid w:val="003D7568"/>
    <w:rsid w:val="003E10F4"/>
    <w:rsid w:val="003E143F"/>
    <w:rsid w:val="003F066F"/>
    <w:rsid w:val="003F1007"/>
    <w:rsid w:val="003F18C3"/>
    <w:rsid w:val="003F5CF6"/>
    <w:rsid w:val="0040704D"/>
    <w:rsid w:val="00407284"/>
    <w:rsid w:val="004134CD"/>
    <w:rsid w:val="004138C0"/>
    <w:rsid w:val="0041727A"/>
    <w:rsid w:val="004202BE"/>
    <w:rsid w:val="00426E11"/>
    <w:rsid w:val="00435796"/>
    <w:rsid w:val="0044488E"/>
    <w:rsid w:val="004477CF"/>
    <w:rsid w:val="00452CE7"/>
    <w:rsid w:val="00455DFD"/>
    <w:rsid w:val="0045785E"/>
    <w:rsid w:val="004674D7"/>
    <w:rsid w:val="00482021"/>
    <w:rsid w:val="004841D4"/>
    <w:rsid w:val="004A5B2F"/>
    <w:rsid w:val="004B1AC8"/>
    <w:rsid w:val="004C0F2A"/>
    <w:rsid w:val="004C3872"/>
    <w:rsid w:val="004C4042"/>
    <w:rsid w:val="004D1F16"/>
    <w:rsid w:val="004D56A0"/>
    <w:rsid w:val="004D5E03"/>
    <w:rsid w:val="004E34CD"/>
    <w:rsid w:val="004E5FE2"/>
    <w:rsid w:val="00521198"/>
    <w:rsid w:val="00522DEE"/>
    <w:rsid w:val="00530527"/>
    <w:rsid w:val="00533104"/>
    <w:rsid w:val="005352F7"/>
    <w:rsid w:val="005359CB"/>
    <w:rsid w:val="00542385"/>
    <w:rsid w:val="00551D3A"/>
    <w:rsid w:val="005604F4"/>
    <w:rsid w:val="00560BEE"/>
    <w:rsid w:val="0056153E"/>
    <w:rsid w:val="00562381"/>
    <w:rsid w:val="00563FEF"/>
    <w:rsid w:val="00565882"/>
    <w:rsid w:val="00565C67"/>
    <w:rsid w:val="00591410"/>
    <w:rsid w:val="00591909"/>
    <w:rsid w:val="00593BF5"/>
    <w:rsid w:val="005B60AF"/>
    <w:rsid w:val="005B7A0B"/>
    <w:rsid w:val="005B7D0F"/>
    <w:rsid w:val="005C59E0"/>
    <w:rsid w:val="005D5765"/>
    <w:rsid w:val="005E0EB5"/>
    <w:rsid w:val="005F29F6"/>
    <w:rsid w:val="00616F07"/>
    <w:rsid w:val="00627946"/>
    <w:rsid w:val="006306DC"/>
    <w:rsid w:val="0063338B"/>
    <w:rsid w:val="006506D1"/>
    <w:rsid w:val="00654273"/>
    <w:rsid w:val="00656B8D"/>
    <w:rsid w:val="0066272D"/>
    <w:rsid w:val="00682A57"/>
    <w:rsid w:val="00687D79"/>
    <w:rsid w:val="006B0178"/>
    <w:rsid w:val="006C31FE"/>
    <w:rsid w:val="006C38EF"/>
    <w:rsid w:val="006C4A51"/>
    <w:rsid w:val="006F0A03"/>
    <w:rsid w:val="006F601C"/>
    <w:rsid w:val="007120BA"/>
    <w:rsid w:val="00727419"/>
    <w:rsid w:val="00734374"/>
    <w:rsid w:val="0075455C"/>
    <w:rsid w:val="007623EF"/>
    <w:rsid w:val="00763451"/>
    <w:rsid w:val="00764CDB"/>
    <w:rsid w:val="00767CBE"/>
    <w:rsid w:val="00770EC2"/>
    <w:rsid w:val="00770F66"/>
    <w:rsid w:val="00773905"/>
    <w:rsid w:val="00774519"/>
    <w:rsid w:val="00781695"/>
    <w:rsid w:val="007837FB"/>
    <w:rsid w:val="00787627"/>
    <w:rsid w:val="00795343"/>
    <w:rsid w:val="0079720A"/>
    <w:rsid w:val="007A3B33"/>
    <w:rsid w:val="007B0618"/>
    <w:rsid w:val="007C312B"/>
    <w:rsid w:val="007C7F21"/>
    <w:rsid w:val="007F614D"/>
    <w:rsid w:val="007F6567"/>
    <w:rsid w:val="00803609"/>
    <w:rsid w:val="008116D1"/>
    <w:rsid w:val="008266C1"/>
    <w:rsid w:val="008415EE"/>
    <w:rsid w:val="0084488E"/>
    <w:rsid w:val="0086571D"/>
    <w:rsid w:val="00887FBE"/>
    <w:rsid w:val="008A2761"/>
    <w:rsid w:val="008B0962"/>
    <w:rsid w:val="008C1C35"/>
    <w:rsid w:val="008C7FD8"/>
    <w:rsid w:val="008D3B61"/>
    <w:rsid w:val="008D7B80"/>
    <w:rsid w:val="008E51CD"/>
    <w:rsid w:val="008F02F5"/>
    <w:rsid w:val="008F0601"/>
    <w:rsid w:val="00904403"/>
    <w:rsid w:val="00920B52"/>
    <w:rsid w:val="00927742"/>
    <w:rsid w:val="00943C45"/>
    <w:rsid w:val="00952930"/>
    <w:rsid w:val="0095558E"/>
    <w:rsid w:val="00961002"/>
    <w:rsid w:val="0096459C"/>
    <w:rsid w:val="009649D6"/>
    <w:rsid w:val="009912B2"/>
    <w:rsid w:val="009A3369"/>
    <w:rsid w:val="009B2283"/>
    <w:rsid w:val="009B5D8C"/>
    <w:rsid w:val="009B6AA4"/>
    <w:rsid w:val="009C2FE1"/>
    <w:rsid w:val="009C607B"/>
    <w:rsid w:val="009D12A4"/>
    <w:rsid w:val="009D4A17"/>
    <w:rsid w:val="009F2325"/>
    <w:rsid w:val="009F62AD"/>
    <w:rsid w:val="009F7B42"/>
    <w:rsid w:val="00A0246A"/>
    <w:rsid w:val="00A12E27"/>
    <w:rsid w:val="00A24D10"/>
    <w:rsid w:val="00A31962"/>
    <w:rsid w:val="00A46507"/>
    <w:rsid w:val="00A51272"/>
    <w:rsid w:val="00A61CFC"/>
    <w:rsid w:val="00A6673E"/>
    <w:rsid w:val="00A74927"/>
    <w:rsid w:val="00A76ABF"/>
    <w:rsid w:val="00A8171D"/>
    <w:rsid w:val="00A86C8A"/>
    <w:rsid w:val="00A90416"/>
    <w:rsid w:val="00A92311"/>
    <w:rsid w:val="00A92A2C"/>
    <w:rsid w:val="00AA31DE"/>
    <w:rsid w:val="00AA7649"/>
    <w:rsid w:val="00AA7E8E"/>
    <w:rsid w:val="00AB253B"/>
    <w:rsid w:val="00AD0482"/>
    <w:rsid w:val="00AE00FA"/>
    <w:rsid w:val="00AE10D3"/>
    <w:rsid w:val="00AF6293"/>
    <w:rsid w:val="00B008DB"/>
    <w:rsid w:val="00B20CE1"/>
    <w:rsid w:val="00B300B9"/>
    <w:rsid w:val="00B4098D"/>
    <w:rsid w:val="00B41D6F"/>
    <w:rsid w:val="00B42545"/>
    <w:rsid w:val="00B47092"/>
    <w:rsid w:val="00B65383"/>
    <w:rsid w:val="00B82448"/>
    <w:rsid w:val="00B845AC"/>
    <w:rsid w:val="00B95C88"/>
    <w:rsid w:val="00B972DD"/>
    <w:rsid w:val="00BA0925"/>
    <w:rsid w:val="00BB3AC0"/>
    <w:rsid w:val="00BB3C01"/>
    <w:rsid w:val="00BB6D09"/>
    <w:rsid w:val="00BC5459"/>
    <w:rsid w:val="00BE3CC0"/>
    <w:rsid w:val="00BE6B0C"/>
    <w:rsid w:val="00BF6B40"/>
    <w:rsid w:val="00C259D6"/>
    <w:rsid w:val="00C27D85"/>
    <w:rsid w:val="00C301D2"/>
    <w:rsid w:val="00C33CF5"/>
    <w:rsid w:val="00C400C1"/>
    <w:rsid w:val="00C63FE3"/>
    <w:rsid w:val="00C65D8D"/>
    <w:rsid w:val="00C71EED"/>
    <w:rsid w:val="00C7303D"/>
    <w:rsid w:val="00C7393D"/>
    <w:rsid w:val="00C75A96"/>
    <w:rsid w:val="00C802E3"/>
    <w:rsid w:val="00C863CA"/>
    <w:rsid w:val="00C91518"/>
    <w:rsid w:val="00C915B0"/>
    <w:rsid w:val="00C9406B"/>
    <w:rsid w:val="00CA604A"/>
    <w:rsid w:val="00CA7B0D"/>
    <w:rsid w:val="00CB675C"/>
    <w:rsid w:val="00CC65A9"/>
    <w:rsid w:val="00CC6B16"/>
    <w:rsid w:val="00CD3F81"/>
    <w:rsid w:val="00CE0828"/>
    <w:rsid w:val="00CE5FAF"/>
    <w:rsid w:val="00D01095"/>
    <w:rsid w:val="00D01A45"/>
    <w:rsid w:val="00D13356"/>
    <w:rsid w:val="00D1358A"/>
    <w:rsid w:val="00D1575B"/>
    <w:rsid w:val="00D2053C"/>
    <w:rsid w:val="00D24673"/>
    <w:rsid w:val="00D2587E"/>
    <w:rsid w:val="00D35505"/>
    <w:rsid w:val="00D53168"/>
    <w:rsid w:val="00D5321D"/>
    <w:rsid w:val="00D56660"/>
    <w:rsid w:val="00D732A2"/>
    <w:rsid w:val="00D7555E"/>
    <w:rsid w:val="00D81170"/>
    <w:rsid w:val="00D90A17"/>
    <w:rsid w:val="00D917E0"/>
    <w:rsid w:val="00DB36B5"/>
    <w:rsid w:val="00DB5F66"/>
    <w:rsid w:val="00DC42FC"/>
    <w:rsid w:val="00DC6D95"/>
    <w:rsid w:val="00DD1608"/>
    <w:rsid w:val="00DD4755"/>
    <w:rsid w:val="00DD4F58"/>
    <w:rsid w:val="00DE0E46"/>
    <w:rsid w:val="00DE42D5"/>
    <w:rsid w:val="00DE7B61"/>
    <w:rsid w:val="00DE7DEB"/>
    <w:rsid w:val="00E0612A"/>
    <w:rsid w:val="00E12184"/>
    <w:rsid w:val="00E13542"/>
    <w:rsid w:val="00E16E86"/>
    <w:rsid w:val="00E1725E"/>
    <w:rsid w:val="00E21928"/>
    <w:rsid w:val="00E2474E"/>
    <w:rsid w:val="00E415E4"/>
    <w:rsid w:val="00E470F6"/>
    <w:rsid w:val="00E54BE2"/>
    <w:rsid w:val="00E55D1B"/>
    <w:rsid w:val="00E76AF9"/>
    <w:rsid w:val="00E90E72"/>
    <w:rsid w:val="00E91CD1"/>
    <w:rsid w:val="00EA0BBA"/>
    <w:rsid w:val="00EA1639"/>
    <w:rsid w:val="00EA2D98"/>
    <w:rsid w:val="00EA4905"/>
    <w:rsid w:val="00EB06CB"/>
    <w:rsid w:val="00EC2D0A"/>
    <w:rsid w:val="00EE2C0E"/>
    <w:rsid w:val="00EE5884"/>
    <w:rsid w:val="00EE6574"/>
    <w:rsid w:val="00EE7579"/>
    <w:rsid w:val="00EF1332"/>
    <w:rsid w:val="00EF136C"/>
    <w:rsid w:val="00EF5A89"/>
    <w:rsid w:val="00EF6AC3"/>
    <w:rsid w:val="00F14394"/>
    <w:rsid w:val="00F3003D"/>
    <w:rsid w:val="00F4791D"/>
    <w:rsid w:val="00F60544"/>
    <w:rsid w:val="00F6470D"/>
    <w:rsid w:val="00F67840"/>
    <w:rsid w:val="00F72386"/>
    <w:rsid w:val="00F80699"/>
    <w:rsid w:val="00F81E05"/>
    <w:rsid w:val="00F83AB9"/>
    <w:rsid w:val="00F85EB0"/>
    <w:rsid w:val="00F8746C"/>
    <w:rsid w:val="00F900D3"/>
    <w:rsid w:val="00F94B24"/>
    <w:rsid w:val="00F9500B"/>
    <w:rsid w:val="00F96FB8"/>
    <w:rsid w:val="00FA6411"/>
    <w:rsid w:val="00FA6CDE"/>
    <w:rsid w:val="00FC2F8D"/>
    <w:rsid w:val="00FC4E06"/>
    <w:rsid w:val="00FC604D"/>
    <w:rsid w:val="00FD7C0B"/>
    <w:rsid w:val="00FE0FA4"/>
    <w:rsid w:val="00FE3D41"/>
    <w:rsid w:val="00FF0AAC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2A57"/>
    <w:pPr>
      <w:spacing w:after="0" w:line="240" w:lineRule="auto"/>
    </w:pPr>
  </w:style>
  <w:style w:type="table" w:customStyle="1" w:styleId="Ombrageclair1">
    <w:name w:val="Ombrage clair1"/>
    <w:basedOn w:val="TableauNormal"/>
    <w:uiPriority w:val="60"/>
    <w:rsid w:val="00C9406B"/>
    <w:pPr>
      <w:spacing w:after="0" w:line="240" w:lineRule="auto"/>
    </w:pPr>
    <w:rPr>
      <w:rFonts w:ascii="Times New Roman" w:hAnsi="Times New Roman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9B5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184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12184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12184"/>
    <w:rPr>
      <w:rFonts w:ascii="Consolas" w:eastAsiaTheme="minorEastAsia" w:hAnsi="Consolas" w:cs="Times New Roman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D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4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B8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B84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76718"/>
    <w:pPr>
      <w:spacing w:after="0" w:line="240" w:lineRule="auto"/>
    </w:pPr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1C6F45"/>
    <w:pPr>
      <w:autoSpaceDE w:val="0"/>
      <w:autoSpaceDN w:val="0"/>
      <w:adjustRightInd w:val="0"/>
      <w:spacing w:line="480" w:lineRule="auto"/>
      <w:ind w:firstLine="720"/>
      <w:jc w:val="center"/>
    </w:pPr>
    <w:rPr>
      <w:rFonts w:ascii="Helvetica" w:eastAsia="Calibri" w:hAnsi="Helvetica" w:cs="Times New Roman"/>
      <w:b/>
      <w:sz w:val="28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C6F45"/>
    <w:rPr>
      <w:rFonts w:ascii="Helvetica" w:eastAsia="Calibri" w:hAnsi="Helvetica" w:cs="Times New Roman"/>
      <w:b/>
      <w:sz w:val="28"/>
      <w:szCs w:val="20"/>
      <w:lang w:val="en-US" w:eastAsia="fr-FR"/>
    </w:rPr>
  </w:style>
  <w:style w:type="character" w:customStyle="1" w:styleId="highlightedsearchterm">
    <w:name w:val="highlightedsearchterm"/>
    <w:basedOn w:val="Policepardfaut"/>
    <w:rsid w:val="00FC4E06"/>
  </w:style>
  <w:style w:type="table" w:styleId="Grilledutableau">
    <w:name w:val="Table Grid"/>
    <w:basedOn w:val="TableauNormal"/>
    <w:uiPriority w:val="59"/>
    <w:rsid w:val="006C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25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545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25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5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2A57"/>
    <w:pPr>
      <w:spacing w:after="0" w:line="240" w:lineRule="auto"/>
    </w:pPr>
  </w:style>
  <w:style w:type="table" w:customStyle="1" w:styleId="Ombrageclair1">
    <w:name w:val="Ombrage clair1"/>
    <w:basedOn w:val="TableauNormal"/>
    <w:uiPriority w:val="60"/>
    <w:rsid w:val="00C9406B"/>
    <w:pPr>
      <w:spacing w:after="0" w:line="240" w:lineRule="auto"/>
    </w:pPr>
    <w:rPr>
      <w:rFonts w:ascii="Times New Roman" w:hAnsi="Times New Roman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9B5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184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12184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12184"/>
    <w:rPr>
      <w:rFonts w:ascii="Consolas" w:eastAsiaTheme="minorEastAsia" w:hAnsi="Consolas" w:cs="Times New Roman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D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4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B8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B84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76718"/>
    <w:pPr>
      <w:spacing w:after="0" w:line="240" w:lineRule="auto"/>
    </w:pPr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1C6F45"/>
    <w:pPr>
      <w:autoSpaceDE w:val="0"/>
      <w:autoSpaceDN w:val="0"/>
      <w:adjustRightInd w:val="0"/>
      <w:spacing w:line="480" w:lineRule="auto"/>
      <w:ind w:firstLine="720"/>
      <w:jc w:val="center"/>
    </w:pPr>
    <w:rPr>
      <w:rFonts w:ascii="Helvetica" w:eastAsia="Calibri" w:hAnsi="Helvetica" w:cs="Times New Roman"/>
      <w:b/>
      <w:sz w:val="28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C6F45"/>
    <w:rPr>
      <w:rFonts w:ascii="Helvetica" w:eastAsia="Calibri" w:hAnsi="Helvetica" w:cs="Times New Roman"/>
      <w:b/>
      <w:sz w:val="28"/>
      <w:szCs w:val="20"/>
      <w:lang w:val="en-US" w:eastAsia="fr-FR"/>
    </w:rPr>
  </w:style>
  <w:style w:type="character" w:customStyle="1" w:styleId="highlightedsearchterm">
    <w:name w:val="highlightedsearchterm"/>
    <w:basedOn w:val="Policepardfaut"/>
    <w:rsid w:val="00FC4E06"/>
  </w:style>
  <w:style w:type="table" w:styleId="Grilledutableau">
    <w:name w:val="Table Grid"/>
    <w:basedOn w:val="TableauNormal"/>
    <w:uiPriority w:val="59"/>
    <w:rsid w:val="006C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25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545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25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5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6FB0BC-8881-4FAD-A172-431E782E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7</Pages>
  <Words>2430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Vannuscorps</dc:creator>
  <cp:lastModifiedBy>Gilles</cp:lastModifiedBy>
  <cp:revision>201</cp:revision>
  <cp:lastPrinted>2014-11-27T16:02:00Z</cp:lastPrinted>
  <dcterms:created xsi:type="dcterms:W3CDTF">2012-02-09T08:31:00Z</dcterms:created>
  <dcterms:modified xsi:type="dcterms:W3CDTF">2015-04-28T01:36:00Z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